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0CA" w:rsidRPr="002770CA" w:rsidRDefault="002770CA" w:rsidP="002770CA">
      <w:pPr>
        <w:spacing w:after="0" w:line="240" w:lineRule="auto"/>
        <w:ind w:firstLine="709"/>
        <w:jc w:val="center"/>
        <w:rPr>
          <w:rFonts w:ascii="Times New Roman" w:eastAsia="Times New Roman" w:hAnsi="Times New Roman" w:cs="Times New Roman"/>
          <w:b/>
          <w:bCs/>
          <w:color w:val="000000"/>
          <w:sz w:val="28"/>
          <w:szCs w:val="28"/>
          <w:lang w:eastAsia="ru-RU"/>
        </w:rPr>
      </w:pPr>
      <w:r w:rsidRPr="002770CA">
        <w:rPr>
          <w:rFonts w:ascii="Times New Roman" w:eastAsia="Times New Roman" w:hAnsi="Times New Roman" w:cs="Times New Roman"/>
          <w:b/>
          <w:bCs/>
          <w:color w:val="000000"/>
          <w:sz w:val="28"/>
          <w:szCs w:val="28"/>
          <w:lang w:eastAsia="ru-RU"/>
        </w:rPr>
        <w:t>3 СОСТАВ И СТРОЕНИЕ ТЕХНОГЕННЫХ МЕСТОРОЖДЕНИЙ</w:t>
      </w:r>
    </w:p>
    <w:p w:rsidR="002770CA" w:rsidRPr="002770CA" w:rsidRDefault="002770CA" w:rsidP="002770CA">
      <w:pPr>
        <w:spacing w:after="0" w:line="240" w:lineRule="auto"/>
        <w:ind w:firstLine="709"/>
        <w:jc w:val="both"/>
        <w:rPr>
          <w:rFonts w:ascii="Times New Roman" w:eastAsia="Times New Roman" w:hAnsi="Times New Roman" w:cs="Times New Roman"/>
          <w:b/>
          <w:bCs/>
          <w:color w:val="000000"/>
          <w:sz w:val="28"/>
          <w:szCs w:val="28"/>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Состав и строение ТМ определяются целым рядом факторов, важнейшими среди которых являются:</w:t>
      </w:r>
    </w:p>
    <w:p w:rsidR="002770CA" w:rsidRPr="002770CA" w:rsidRDefault="002770CA" w:rsidP="002770CA">
      <w:pPr>
        <w:numPr>
          <w:ilvl w:val="0"/>
          <w:numId w:val="1"/>
        </w:num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условия образования (добыча и обогащение руд и угля, переработка концентратов руд, сжигание угля и т.д.);</w:t>
      </w:r>
    </w:p>
    <w:p w:rsidR="002770CA" w:rsidRPr="002770CA" w:rsidRDefault="002770CA" w:rsidP="002770CA">
      <w:pPr>
        <w:numPr>
          <w:ilvl w:val="0"/>
          <w:numId w:val="1"/>
        </w:num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состав исходного сырья (месторождения цветных и редких металлов, полиметаллические, железорудные и другие типы коренных месторождений);</w:t>
      </w:r>
    </w:p>
    <w:p w:rsidR="002770CA" w:rsidRPr="002770CA" w:rsidRDefault="002770CA" w:rsidP="002770CA">
      <w:pPr>
        <w:numPr>
          <w:ilvl w:val="0"/>
          <w:numId w:val="1"/>
        </w:num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физико-химические и механические процессы климатического воздействия и выветривания отвалов. Они интенсивно окисляются, выщелачиваются и разрушаются, что приводит к изменению минералогического и вещественного состава техногенных отложений, выносу элементов и образованию ореолов рассеяния вокруг отвалов. Особенно это проявляется для отходов добычи и обогащения сульфидных руд, так как они при окислении и выветривании быстро разрушаются и переходят в окисленные минеральные формы, требующие при утилизации особых технологий извлечения полезных компонент</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 приповерхностной зоне техногенных отложений под воздействием кислорода, воды, фильтрационных электрических полей и других факторов происходят интенсивное растворение и миграция металлов и их соединений. При этом могут образовываться обеднённые и обогащённые металлом участки с восстановленными и окисленными формами его нахождения. Например, в участках хвостохранилищ с восстановленными сульфидами нередко наблюдаются повышенные содержания золота, а в зонах окисления возможно накопление серебра.</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 настоящее время опыт разведки техногенных месторождений невелик. Наиболее тщательно такие исследования выполнены на Урале, поэтому ниже приводятся особенности состава и строения ТМ в основном Урала, используя в некоторых случаях так же обобщённые данные по месторождениям бывшего СССР.</w:t>
      </w:r>
    </w:p>
    <w:p w:rsidR="002770CA" w:rsidRPr="002770CA" w:rsidRDefault="002770CA" w:rsidP="002770CA">
      <w:pPr>
        <w:spacing w:after="0" w:line="240" w:lineRule="auto"/>
        <w:ind w:firstLine="709"/>
        <w:jc w:val="center"/>
        <w:rPr>
          <w:rFonts w:ascii="Times New Roman" w:eastAsia="Times New Roman" w:hAnsi="Times New Roman" w:cs="Times New Roman"/>
          <w:b/>
          <w:bCs/>
          <w:color w:val="000000"/>
          <w:sz w:val="28"/>
          <w:szCs w:val="28"/>
          <w:lang w:eastAsia="ru-RU"/>
        </w:rPr>
      </w:pPr>
      <w:r w:rsidRPr="002770CA">
        <w:rPr>
          <w:rFonts w:ascii="Times New Roman" w:eastAsia="Times New Roman" w:hAnsi="Times New Roman" w:cs="Times New Roman"/>
          <w:b/>
          <w:bCs/>
          <w:color w:val="000000"/>
          <w:sz w:val="28"/>
          <w:szCs w:val="28"/>
          <w:lang w:eastAsia="ru-RU"/>
        </w:rPr>
        <w:t>3.1 ТМ топливно-энергетического комплекса</w:t>
      </w:r>
    </w:p>
    <w:p w:rsidR="002770CA" w:rsidRPr="002770CA" w:rsidRDefault="002770CA" w:rsidP="002770CA">
      <w:pPr>
        <w:spacing w:after="0" w:line="240" w:lineRule="auto"/>
        <w:ind w:firstLine="709"/>
        <w:jc w:val="center"/>
        <w:rPr>
          <w:rFonts w:ascii="Times New Roman" w:eastAsia="Times New Roman" w:hAnsi="Times New Roman" w:cs="Times New Roman"/>
          <w:b/>
          <w:bCs/>
          <w:color w:val="000000"/>
          <w:sz w:val="28"/>
          <w:szCs w:val="28"/>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 xml:space="preserve">Одной из важных проблем исследования шлакозольных отвалов теплоэлектростанций (ТЭС) является изучение их состава и количества микропримесей, возможно, представляющих ценность как сырьё для извлечения этих микропримесей. Рассмотрим результаты исследований минерального состава и элементов примесей для зол Рефтинской ГРЭС, работающей с 1970 г и обеспечивающей тепловой и электрической энергией значительную часть Свердловской области. Золы транспортируются по системе гидрозолоудаления и складируются в золоотвал, который занимает площадь 1500 га и содержит 120 млн.т золы при ежегодном складировании золошлаковых отходов около 3,1 млн.т.ЗолоотвалРефтинской ГРЭС вытянут с севера на юг. Его длина более 1000 м, ширина от 100 до 300 м и высота 10-15 м. Опробование поверхности отвала показало, что он имеет неоднородное </w:t>
      </w:r>
      <w:r w:rsidRPr="002770CA">
        <w:rPr>
          <w:rFonts w:ascii="Times New Roman" w:eastAsia="Times New Roman" w:hAnsi="Times New Roman" w:cs="Times New Roman"/>
          <w:color w:val="000000"/>
          <w:sz w:val="28"/>
          <w:szCs w:val="28"/>
          <w:shd w:val="clear" w:color="auto" w:fill="FFFFFF"/>
          <w:lang w:eastAsia="ru-RU"/>
        </w:rPr>
        <w:lastRenderedPageBreak/>
        <w:t>строение, определяющееся чередованием зол различных по гранулометрическому составу (см. таблицу 1).Таблица 1.Гранулометрический состав (%) зол Рефтинской ГРЭС.</w:t>
      </w:r>
    </w:p>
    <w:tbl>
      <w:tblPr>
        <w:tblW w:w="9000"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4689"/>
        <w:gridCol w:w="1295"/>
        <w:gridCol w:w="1295"/>
        <w:gridCol w:w="1721"/>
      </w:tblGrid>
      <w:tr w:rsidR="002770CA" w:rsidRPr="002770CA" w:rsidTr="00E570F2">
        <w:trPr>
          <w:tblCellSpacing w:w="0" w:type="dxa"/>
        </w:trPr>
        <w:tc>
          <w:tcPr>
            <w:tcW w:w="4455"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Тип золы</w:t>
            </w:r>
          </w:p>
        </w:tc>
        <w:tc>
          <w:tcPr>
            <w:tcW w:w="4095" w:type="dxa"/>
            <w:gridSpan w:val="3"/>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Размеры зёрен, мм</w:t>
            </w:r>
          </w:p>
        </w:tc>
      </w:tr>
      <w:tr w:rsidR="002770CA" w:rsidRPr="002770CA" w:rsidTr="00E570F2">
        <w:trPr>
          <w:tblCellSpacing w:w="0" w:type="dxa"/>
        </w:trPr>
        <w:tc>
          <w:tcPr>
            <w:tcW w:w="445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12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&gt; 0,63</w:t>
            </w:r>
          </w:p>
        </w:tc>
        <w:tc>
          <w:tcPr>
            <w:tcW w:w="12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0,2 – 0,63</w:t>
            </w:r>
          </w:p>
        </w:tc>
        <w:tc>
          <w:tcPr>
            <w:tcW w:w="121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&lt;0,2</w:t>
            </w:r>
          </w:p>
        </w:tc>
      </w:tr>
      <w:tr w:rsidR="002770CA" w:rsidRPr="002770CA" w:rsidTr="00E570F2">
        <w:trPr>
          <w:tblCellSpacing w:w="0" w:type="dxa"/>
        </w:trPr>
        <w:tc>
          <w:tcPr>
            <w:tcW w:w="445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Тонкозернистые золы с обломками шлака</w:t>
            </w:r>
          </w:p>
        </w:tc>
        <w:tc>
          <w:tcPr>
            <w:tcW w:w="12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22,8</w:t>
            </w:r>
          </w:p>
        </w:tc>
        <w:tc>
          <w:tcPr>
            <w:tcW w:w="12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28,4</w:t>
            </w:r>
          </w:p>
        </w:tc>
        <w:tc>
          <w:tcPr>
            <w:tcW w:w="121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48,8</w:t>
            </w:r>
          </w:p>
        </w:tc>
      </w:tr>
      <w:tr w:rsidR="002770CA" w:rsidRPr="002770CA" w:rsidTr="00E570F2">
        <w:trPr>
          <w:tblCellSpacing w:w="0" w:type="dxa"/>
        </w:trPr>
        <w:tc>
          <w:tcPr>
            <w:tcW w:w="445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Тонкозернистые золы</w:t>
            </w:r>
          </w:p>
        </w:tc>
        <w:tc>
          <w:tcPr>
            <w:tcW w:w="12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1,4</w:t>
            </w:r>
          </w:p>
        </w:tc>
        <w:tc>
          <w:tcPr>
            <w:tcW w:w="12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7,6</w:t>
            </w:r>
          </w:p>
        </w:tc>
        <w:tc>
          <w:tcPr>
            <w:tcW w:w="121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91</w:t>
            </w:r>
          </w:p>
        </w:tc>
      </w:tr>
      <w:tr w:rsidR="002770CA" w:rsidRPr="002770CA" w:rsidTr="00E570F2">
        <w:trPr>
          <w:tblCellSpacing w:w="0" w:type="dxa"/>
        </w:trPr>
        <w:tc>
          <w:tcPr>
            <w:tcW w:w="445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Пылеватые золы</w:t>
            </w:r>
          </w:p>
        </w:tc>
        <w:tc>
          <w:tcPr>
            <w:tcW w:w="12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0,4</w:t>
            </w:r>
          </w:p>
        </w:tc>
        <w:tc>
          <w:tcPr>
            <w:tcW w:w="12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1,7</w:t>
            </w:r>
          </w:p>
        </w:tc>
        <w:tc>
          <w:tcPr>
            <w:tcW w:w="121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97,9</w:t>
            </w:r>
          </w:p>
        </w:tc>
      </w:tr>
    </w:tbl>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Выделенные разновидности золы отражают её гранулометрическую сортировку при гидровыносе.</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Тонкозернистые золы с обломками шлака распространены в северной части отвала. Тонкозернистые золы составляют основную массу тела золоотвала. Пылеватые золы распространены в виде субширотных полос шириной от 10 до 50 м по всей территории отвала.Содержания микроэлементов в исходном угле и в золе в целом представлены в таблице 2.</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Таблица 2.Среднее содержание и коэффициент концентрации (КК) микроэлементов в сжигаемых углях и золах Рефтинской ГРЭС.</w:t>
      </w:r>
    </w:p>
    <w:tbl>
      <w:tblPr>
        <w:tblW w:w="10146" w:type="dxa"/>
        <w:tblCellSpacing w:w="0" w:type="dxa"/>
        <w:tblInd w:w="-306" w:type="dxa"/>
        <w:tblBorders>
          <w:top w:val="outset" w:sz="6" w:space="0" w:color="000000"/>
          <w:left w:val="outset" w:sz="6" w:space="0" w:color="000000"/>
          <w:bottom w:val="outset" w:sz="6" w:space="0" w:color="000000"/>
          <w:right w:val="outset" w:sz="6" w:space="0" w:color="000000"/>
        </w:tblBorders>
        <w:tblLayout w:type="fixed"/>
        <w:tblCellMar>
          <w:top w:w="105" w:type="dxa"/>
          <w:left w:w="105" w:type="dxa"/>
          <w:bottom w:w="105" w:type="dxa"/>
          <w:right w:w="105" w:type="dxa"/>
        </w:tblCellMar>
        <w:tblLook w:val="04A0" w:firstRow="1" w:lastRow="0" w:firstColumn="1" w:lastColumn="0" w:noHBand="0" w:noVBand="1"/>
      </w:tblPr>
      <w:tblGrid>
        <w:gridCol w:w="852"/>
        <w:gridCol w:w="567"/>
        <w:gridCol w:w="708"/>
        <w:gridCol w:w="709"/>
        <w:gridCol w:w="567"/>
        <w:gridCol w:w="709"/>
        <w:gridCol w:w="567"/>
        <w:gridCol w:w="709"/>
        <w:gridCol w:w="567"/>
        <w:gridCol w:w="850"/>
        <w:gridCol w:w="648"/>
        <w:gridCol w:w="850"/>
        <w:gridCol w:w="1134"/>
        <w:gridCol w:w="709"/>
      </w:tblGrid>
      <w:tr w:rsidR="002770CA" w:rsidRPr="002770CA" w:rsidTr="00E570F2">
        <w:trPr>
          <w:tblCellSpacing w:w="0" w:type="dxa"/>
        </w:trPr>
        <w:tc>
          <w:tcPr>
            <w:tcW w:w="852"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9294" w:type="dxa"/>
            <w:gridSpan w:val="13"/>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Содержание микроэлементов, n·10</w:t>
            </w:r>
            <w:r w:rsidRPr="002770CA">
              <w:rPr>
                <w:rFonts w:ascii="Times New Roman" w:eastAsia="Times New Roman" w:hAnsi="Times New Roman" w:cs="Times New Roman"/>
                <w:color w:val="000000"/>
                <w:sz w:val="28"/>
                <w:szCs w:val="28"/>
                <w:vertAlign w:val="superscript"/>
                <w:lang w:eastAsia="ru-RU"/>
              </w:rPr>
              <w:t>-3</w:t>
            </w:r>
            <w:r w:rsidRPr="002770CA">
              <w:rPr>
                <w:rFonts w:ascii="Times New Roman" w:eastAsia="Times New Roman" w:hAnsi="Times New Roman" w:cs="Times New Roman"/>
                <w:color w:val="000000"/>
                <w:sz w:val="28"/>
                <w:szCs w:val="28"/>
                <w:lang w:eastAsia="ru-RU"/>
              </w:rPr>
              <w:t>%/KK</w:t>
            </w:r>
          </w:p>
        </w:tc>
      </w:tr>
      <w:tr w:rsidR="002770CA" w:rsidRPr="002770CA" w:rsidTr="00E570F2">
        <w:trPr>
          <w:tblCellSpacing w:w="0" w:type="dxa"/>
        </w:trPr>
        <w:tc>
          <w:tcPr>
            <w:tcW w:w="852"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Cu</w:t>
            </w:r>
          </w:p>
        </w:tc>
        <w:tc>
          <w:tcPr>
            <w:tcW w:w="708"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Zn</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Pb</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Be</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Cr</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Co</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Ba</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Ti</w:t>
            </w:r>
          </w:p>
        </w:tc>
        <w:tc>
          <w:tcPr>
            <w:tcW w:w="85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V</w:t>
            </w:r>
          </w:p>
        </w:tc>
        <w:tc>
          <w:tcPr>
            <w:tcW w:w="648"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Mn</w:t>
            </w:r>
          </w:p>
        </w:tc>
        <w:tc>
          <w:tcPr>
            <w:tcW w:w="85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Sc</w:t>
            </w:r>
          </w:p>
        </w:tc>
        <w:tc>
          <w:tcPr>
            <w:tcW w:w="1134"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P</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Zr</w:t>
            </w:r>
          </w:p>
        </w:tc>
      </w:tr>
      <w:tr w:rsidR="002770CA" w:rsidRPr="002770CA" w:rsidTr="00E570F2">
        <w:trPr>
          <w:tblCellSpacing w:w="0" w:type="dxa"/>
        </w:trPr>
        <w:tc>
          <w:tcPr>
            <w:tcW w:w="852"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Уголь</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0,3</w:t>
            </w:r>
          </w:p>
        </w:tc>
        <w:tc>
          <w:tcPr>
            <w:tcW w:w="708"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0,6</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0,5</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0,2</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0,3</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3</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42</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40</w:t>
            </w:r>
          </w:p>
        </w:tc>
        <w:tc>
          <w:tcPr>
            <w:tcW w:w="85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1,3</w:t>
            </w:r>
          </w:p>
        </w:tc>
        <w:tc>
          <w:tcPr>
            <w:tcW w:w="648"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44</w:t>
            </w:r>
          </w:p>
        </w:tc>
        <w:tc>
          <w:tcPr>
            <w:tcW w:w="85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0,7</w:t>
            </w:r>
          </w:p>
        </w:tc>
        <w:tc>
          <w:tcPr>
            <w:tcW w:w="1134"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44</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10,2</w:t>
            </w:r>
          </w:p>
        </w:tc>
      </w:tr>
      <w:tr w:rsidR="002770CA" w:rsidRPr="002770CA" w:rsidTr="00E570F2">
        <w:trPr>
          <w:tblCellSpacing w:w="0" w:type="dxa"/>
        </w:trPr>
        <w:tc>
          <w:tcPr>
            <w:tcW w:w="852"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Золы в целом</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1,4 4,67</w:t>
            </w:r>
          </w:p>
        </w:tc>
        <w:tc>
          <w:tcPr>
            <w:tcW w:w="708"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2,083,47</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1,382,76</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0,2 1</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0,1 0,33</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2,9 0,97</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20 0,48</w:t>
            </w:r>
          </w:p>
        </w:tc>
        <w:tc>
          <w:tcPr>
            <w:tcW w:w="567"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800 20</w:t>
            </w:r>
          </w:p>
        </w:tc>
        <w:tc>
          <w:tcPr>
            <w:tcW w:w="85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2 1,54</w:t>
            </w:r>
          </w:p>
        </w:tc>
        <w:tc>
          <w:tcPr>
            <w:tcW w:w="648"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70,11,59</w:t>
            </w:r>
          </w:p>
        </w:tc>
        <w:tc>
          <w:tcPr>
            <w:tcW w:w="85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1 1,43</w:t>
            </w:r>
          </w:p>
        </w:tc>
        <w:tc>
          <w:tcPr>
            <w:tcW w:w="1134"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1002,27</w:t>
            </w:r>
          </w:p>
        </w:tc>
        <w:tc>
          <w:tcPr>
            <w:tcW w:w="709"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20 1,96</w:t>
            </w:r>
          </w:p>
        </w:tc>
      </w:tr>
    </w:tbl>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val="en-US"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Из таблицы следует, что концентрация в золах большинства элементов возрастает (КК&gt;1), для некоторых весьма значительно (КК</w:t>
      </w:r>
      <w:r w:rsidRPr="002770CA">
        <w:rPr>
          <w:rFonts w:ascii="Times New Roman" w:eastAsia="Times New Roman" w:hAnsi="Times New Roman" w:cs="Times New Roman"/>
          <w:color w:val="000000"/>
          <w:sz w:val="28"/>
          <w:szCs w:val="28"/>
          <w:vertAlign w:val="subscript"/>
          <w:lang w:eastAsia="ru-RU"/>
        </w:rPr>
        <w:t>Ti</w:t>
      </w:r>
      <w:r w:rsidRPr="002770CA">
        <w:rPr>
          <w:rFonts w:ascii="Times New Roman" w:eastAsia="Times New Roman" w:hAnsi="Times New Roman" w:cs="Times New Roman"/>
          <w:color w:val="000000"/>
          <w:sz w:val="28"/>
          <w:szCs w:val="28"/>
          <w:shd w:val="clear" w:color="auto" w:fill="FFFFFF"/>
          <w:lang w:eastAsia="ru-RU"/>
        </w:rPr>
        <w:t>=20, КК</w:t>
      </w:r>
      <w:r w:rsidRPr="002770CA">
        <w:rPr>
          <w:rFonts w:ascii="Times New Roman" w:eastAsia="Times New Roman" w:hAnsi="Times New Roman" w:cs="Times New Roman"/>
          <w:color w:val="000000"/>
          <w:sz w:val="28"/>
          <w:szCs w:val="28"/>
          <w:vertAlign w:val="subscript"/>
          <w:lang w:eastAsia="ru-RU"/>
        </w:rPr>
        <w:t>Cu</w:t>
      </w:r>
      <w:r w:rsidRPr="002770CA">
        <w:rPr>
          <w:rFonts w:ascii="Times New Roman" w:eastAsia="Times New Roman" w:hAnsi="Times New Roman" w:cs="Times New Roman"/>
          <w:color w:val="000000"/>
          <w:sz w:val="28"/>
          <w:szCs w:val="28"/>
          <w:shd w:val="clear" w:color="auto" w:fill="FFFFFF"/>
          <w:lang w:eastAsia="ru-RU"/>
        </w:rPr>
        <w:t>=4,67, КК</w:t>
      </w:r>
      <w:r w:rsidRPr="002770CA">
        <w:rPr>
          <w:rFonts w:ascii="Times New Roman" w:eastAsia="Times New Roman" w:hAnsi="Times New Roman" w:cs="Times New Roman"/>
          <w:color w:val="000000"/>
          <w:sz w:val="28"/>
          <w:szCs w:val="28"/>
          <w:vertAlign w:val="subscript"/>
          <w:lang w:eastAsia="ru-RU"/>
        </w:rPr>
        <w:t>Zn</w:t>
      </w:r>
      <w:r w:rsidRPr="002770CA">
        <w:rPr>
          <w:rFonts w:ascii="Times New Roman" w:eastAsia="Times New Roman" w:hAnsi="Times New Roman" w:cs="Times New Roman"/>
          <w:color w:val="000000"/>
          <w:sz w:val="28"/>
          <w:szCs w:val="28"/>
          <w:shd w:val="clear" w:color="auto" w:fill="FFFFFF"/>
          <w:lang w:eastAsia="ru-RU"/>
        </w:rPr>
        <w:t>=3,47, КК</w:t>
      </w:r>
      <w:r w:rsidRPr="002770CA">
        <w:rPr>
          <w:rFonts w:ascii="Times New Roman" w:eastAsia="Times New Roman" w:hAnsi="Times New Roman" w:cs="Times New Roman"/>
          <w:color w:val="000000"/>
          <w:sz w:val="28"/>
          <w:szCs w:val="28"/>
          <w:vertAlign w:val="subscript"/>
          <w:lang w:eastAsia="ru-RU"/>
        </w:rPr>
        <w:t>Pb</w:t>
      </w:r>
      <w:r w:rsidRPr="002770CA">
        <w:rPr>
          <w:rFonts w:ascii="Times New Roman" w:eastAsia="Times New Roman" w:hAnsi="Times New Roman" w:cs="Times New Roman"/>
          <w:color w:val="000000"/>
          <w:sz w:val="28"/>
          <w:szCs w:val="28"/>
          <w:shd w:val="clear" w:color="auto" w:fill="FFFFFF"/>
          <w:lang w:eastAsia="ru-RU"/>
        </w:rPr>
        <w:t>=2,76) и только для трёх элементов уменьшается (КК</w:t>
      </w:r>
      <w:r w:rsidRPr="002770CA">
        <w:rPr>
          <w:rFonts w:ascii="Times New Roman" w:eastAsia="Times New Roman" w:hAnsi="Times New Roman" w:cs="Times New Roman"/>
          <w:color w:val="000000"/>
          <w:sz w:val="28"/>
          <w:szCs w:val="28"/>
          <w:vertAlign w:val="subscript"/>
          <w:lang w:eastAsia="ru-RU"/>
        </w:rPr>
        <w:t>Cr</w:t>
      </w:r>
      <w:r w:rsidRPr="002770CA">
        <w:rPr>
          <w:rFonts w:ascii="Times New Roman" w:eastAsia="Times New Roman" w:hAnsi="Times New Roman" w:cs="Times New Roman"/>
          <w:color w:val="000000"/>
          <w:sz w:val="28"/>
          <w:szCs w:val="28"/>
          <w:shd w:val="clear" w:color="auto" w:fill="FFFFFF"/>
          <w:lang w:eastAsia="ru-RU"/>
        </w:rPr>
        <w:t>=0,33, КК</w:t>
      </w:r>
      <w:r w:rsidRPr="002770CA">
        <w:rPr>
          <w:rFonts w:ascii="Times New Roman" w:eastAsia="Times New Roman" w:hAnsi="Times New Roman" w:cs="Times New Roman"/>
          <w:color w:val="000000"/>
          <w:sz w:val="28"/>
          <w:szCs w:val="28"/>
          <w:vertAlign w:val="subscript"/>
          <w:lang w:eastAsia="ru-RU"/>
        </w:rPr>
        <w:t>Co</w:t>
      </w:r>
      <w:r w:rsidRPr="002770CA">
        <w:rPr>
          <w:rFonts w:ascii="Times New Roman" w:eastAsia="Times New Roman" w:hAnsi="Times New Roman" w:cs="Times New Roman"/>
          <w:color w:val="000000"/>
          <w:sz w:val="28"/>
          <w:szCs w:val="28"/>
          <w:shd w:val="clear" w:color="auto" w:fill="FFFFFF"/>
          <w:lang w:eastAsia="ru-RU"/>
        </w:rPr>
        <w:t>=0,97, КК</w:t>
      </w:r>
      <w:r w:rsidRPr="002770CA">
        <w:rPr>
          <w:rFonts w:ascii="Times New Roman" w:eastAsia="Times New Roman" w:hAnsi="Times New Roman" w:cs="Times New Roman"/>
          <w:color w:val="000000"/>
          <w:sz w:val="28"/>
          <w:szCs w:val="28"/>
          <w:vertAlign w:val="subscript"/>
          <w:lang w:eastAsia="ru-RU"/>
        </w:rPr>
        <w:t>Ba</w:t>
      </w:r>
      <w:r w:rsidRPr="002770CA">
        <w:rPr>
          <w:rFonts w:ascii="Times New Roman" w:eastAsia="Times New Roman" w:hAnsi="Times New Roman" w:cs="Times New Roman"/>
          <w:color w:val="000000"/>
          <w:sz w:val="28"/>
          <w:szCs w:val="28"/>
          <w:shd w:val="clear" w:color="auto" w:fill="FFFFFF"/>
          <w:lang w:eastAsia="ru-RU"/>
        </w:rPr>
        <w:t>=0,48).</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Наблюдаются определённые различия в содержании отдельных микроэлементов для указанных выше разновидностей зол. Так например, в тонкозернистых золах повышены содержания меди (КК</w:t>
      </w:r>
      <w:r w:rsidRPr="002770CA">
        <w:rPr>
          <w:rFonts w:ascii="Times New Roman" w:eastAsia="Times New Roman" w:hAnsi="Times New Roman" w:cs="Times New Roman"/>
          <w:color w:val="000000"/>
          <w:sz w:val="28"/>
          <w:szCs w:val="28"/>
          <w:vertAlign w:val="subscript"/>
          <w:lang w:eastAsia="ru-RU"/>
        </w:rPr>
        <w:t>Cu</w:t>
      </w:r>
      <w:r w:rsidRPr="002770CA">
        <w:rPr>
          <w:rFonts w:ascii="Times New Roman" w:eastAsia="Times New Roman" w:hAnsi="Times New Roman" w:cs="Times New Roman"/>
          <w:color w:val="000000"/>
          <w:sz w:val="28"/>
          <w:szCs w:val="28"/>
          <w:shd w:val="clear" w:color="auto" w:fill="FFFFFF"/>
          <w:lang w:eastAsia="ru-RU"/>
        </w:rPr>
        <w:t>=5,17) и хрома (КК</w:t>
      </w:r>
      <w:r w:rsidRPr="002770CA">
        <w:rPr>
          <w:rFonts w:ascii="Times New Roman" w:eastAsia="Times New Roman" w:hAnsi="Times New Roman" w:cs="Times New Roman"/>
          <w:color w:val="000000"/>
          <w:sz w:val="28"/>
          <w:szCs w:val="28"/>
          <w:vertAlign w:val="subscript"/>
          <w:lang w:eastAsia="ru-RU"/>
        </w:rPr>
        <w:t>Cr</w:t>
      </w:r>
      <w:r w:rsidRPr="002770CA">
        <w:rPr>
          <w:rFonts w:ascii="Times New Roman" w:eastAsia="Times New Roman" w:hAnsi="Times New Roman" w:cs="Times New Roman"/>
          <w:color w:val="000000"/>
          <w:sz w:val="28"/>
          <w:szCs w:val="28"/>
          <w:shd w:val="clear" w:color="auto" w:fill="FFFFFF"/>
          <w:lang w:eastAsia="ru-RU"/>
        </w:rPr>
        <w:t>=3,3), пылеватые золы характеризуются понижением содержания меди (КК</w:t>
      </w:r>
      <w:r w:rsidRPr="002770CA">
        <w:rPr>
          <w:rFonts w:ascii="Times New Roman" w:eastAsia="Times New Roman" w:hAnsi="Times New Roman" w:cs="Times New Roman"/>
          <w:color w:val="000000"/>
          <w:sz w:val="28"/>
          <w:szCs w:val="28"/>
          <w:vertAlign w:val="subscript"/>
          <w:lang w:eastAsia="ru-RU"/>
        </w:rPr>
        <w:t>Cu</w:t>
      </w:r>
      <w:r w:rsidRPr="002770CA">
        <w:rPr>
          <w:rFonts w:ascii="Times New Roman" w:eastAsia="Times New Roman" w:hAnsi="Times New Roman" w:cs="Times New Roman"/>
          <w:color w:val="000000"/>
          <w:sz w:val="28"/>
          <w:szCs w:val="28"/>
          <w:shd w:val="clear" w:color="auto" w:fill="FFFFFF"/>
          <w:lang w:eastAsia="ru-RU"/>
        </w:rPr>
        <w:t>=2,97) и цинка (КК</w:t>
      </w:r>
      <w:r w:rsidRPr="002770CA">
        <w:rPr>
          <w:rFonts w:ascii="Times New Roman" w:eastAsia="Times New Roman" w:hAnsi="Times New Roman" w:cs="Times New Roman"/>
          <w:color w:val="000000"/>
          <w:sz w:val="28"/>
          <w:szCs w:val="28"/>
          <w:vertAlign w:val="subscript"/>
          <w:lang w:eastAsia="ru-RU"/>
        </w:rPr>
        <w:t>Zn</w:t>
      </w:r>
      <w:r w:rsidRPr="002770CA">
        <w:rPr>
          <w:rFonts w:ascii="Times New Roman" w:eastAsia="Times New Roman" w:hAnsi="Times New Roman" w:cs="Times New Roman"/>
          <w:color w:val="000000"/>
          <w:sz w:val="28"/>
          <w:szCs w:val="28"/>
          <w:shd w:val="clear" w:color="auto" w:fill="FFFFFF"/>
          <w:lang w:eastAsia="ru-RU"/>
        </w:rPr>
        <w:t>=3,0) и повышением содержания почти всех остальных элементов (КК</w:t>
      </w:r>
      <w:r w:rsidRPr="002770CA">
        <w:rPr>
          <w:rFonts w:ascii="Times New Roman" w:eastAsia="Times New Roman" w:hAnsi="Times New Roman" w:cs="Times New Roman"/>
          <w:color w:val="000000"/>
          <w:sz w:val="28"/>
          <w:szCs w:val="28"/>
          <w:vertAlign w:val="subscript"/>
          <w:lang w:eastAsia="ru-RU"/>
        </w:rPr>
        <w:t>Be</w:t>
      </w:r>
      <w:r w:rsidRPr="002770CA">
        <w:rPr>
          <w:rFonts w:ascii="Times New Roman" w:eastAsia="Times New Roman" w:hAnsi="Times New Roman" w:cs="Times New Roman"/>
          <w:color w:val="000000"/>
          <w:sz w:val="28"/>
          <w:szCs w:val="28"/>
          <w:shd w:val="clear" w:color="auto" w:fill="FFFFFF"/>
          <w:lang w:eastAsia="ru-RU"/>
        </w:rPr>
        <w:t>=1,55, КК</w:t>
      </w:r>
      <w:r w:rsidRPr="002770CA">
        <w:rPr>
          <w:rFonts w:ascii="Times New Roman" w:eastAsia="Times New Roman" w:hAnsi="Times New Roman" w:cs="Times New Roman"/>
          <w:color w:val="000000"/>
          <w:sz w:val="28"/>
          <w:szCs w:val="28"/>
          <w:vertAlign w:val="subscript"/>
          <w:lang w:eastAsia="ru-RU"/>
        </w:rPr>
        <w:t>Ba</w:t>
      </w:r>
      <w:r w:rsidRPr="002770CA">
        <w:rPr>
          <w:rFonts w:ascii="Times New Roman" w:eastAsia="Times New Roman" w:hAnsi="Times New Roman" w:cs="Times New Roman"/>
          <w:color w:val="000000"/>
          <w:sz w:val="28"/>
          <w:szCs w:val="28"/>
          <w:shd w:val="clear" w:color="auto" w:fill="FFFFFF"/>
          <w:lang w:eastAsia="ru-RU"/>
        </w:rPr>
        <w:t>=0,7 и др.). В золах, содержащих обломки шлаков повышены содержания хрома (КК</w:t>
      </w:r>
      <w:r w:rsidRPr="002770CA">
        <w:rPr>
          <w:rFonts w:ascii="Times New Roman" w:eastAsia="Times New Roman" w:hAnsi="Times New Roman" w:cs="Times New Roman"/>
          <w:color w:val="000000"/>
          <w:sz w:val="28"/>
          <w:szCs w:val="28"/>
          <w:vertAlign w:val="subscript"/>
          <w:lang w:eastAsia="ru-RU"/>
        </w:rPr>
        <w:t>Cr</w:t>
      </w:r>
      <w:r w:rsidRPr="002770CA">
        <w:rPr>
          <w:rFonts w:ascii="Times New Roman" w:eastAsia="Times New Roman" w:hAnsi="Times New Roman" w:cs="Times New Roman"/>
          <w:color w:val="000000"/>
          <w:sz w:val="28"/>
          <w:szCs w:val="28"/>
          <w:shd w:val="clear" w:color="auto" w:fill="FFFFFF"/>
          <w:lang w:eastAsia="ru-RU"/>
        </w:rPr>
        <w:t>=3,0) и марганца (КК</w:t>
      </w:r>
      <w:r w:rsidRPr="002770CA">
        <w:rPr>
          <w:rFonts w:ascii="Times New Roman" w:eastAsia="Times New Roman" w:hAnsi="Times New Roman" w:cs="Times New Roman"/>
          <w:color w:val="000000"/>
          <w:sz w:val="28"/>
          <w:szCs w:val="28"/>
          <w:vertAlign w:val="subscript"/>
          <w:lang w:eastAsia="ru-RU"/>
        </w:rPr>
        <w:t>Mn</w:t>
      </w:r>
      <w:r w:rsidRPr="002770CA">
        <w:rPr>
          <w:rFonts w:ascii="Times New Roman" w:eastAsia="Times New Roman" w:hAnsi="Times New Roman" w:cs="Times New Roman"/>
          <w:color w:val="000000"/>
          <w:sz w:val="28"/>
          <w:szCs w:val="28"/>
          <w:shd w:val="clear" w:color="auto" w:fill="FFFFFF"/>
          <w:lang w:eastAsia="ru-RU"/>
        </w:rPr>
        <w:t>=1,82).</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Главным минералом, выявленным рентгеноструктурным анализом, является муллит {Al</w:t>
      </w:r>
      <w:r w:rsidRPr="002770CA">
        <w:rPr>
          <w:rFonts w:ascii="Times New Roman" w:eastAsia="Times New Roman" w:hAnsi="Times New Roman" w:cs="Times New Roman"/>
          <w:color w:val="000000"/>
          <w:sz w:val="28"/>
          <w:szCs w:val="28"/>
          <w:vertAlign w:val="subscript"/>
          <w:lang w:eastAsia="ru-RU"/>
        </w:rPr>
        <w:t>4</w:t>
      </w:r>
      <w:r w:rsidRPr="002770CA">
        <w:rPr>
          <w:rFonts w:ascii="Times New Roman" w:eastAsia="Times New Roman" w:hAnsi="Times New Roman" w:cs="Times New Roman"/>
          <w:color w:val="000000"/>
          <w:sz w:val="28"/>
          <w:szCs w:val="28"/>
          <w:shd w:val="clear" w:color="auto" w:fill="FFFFFF"/>
          <w:lang w:eastAsia="ru-RU"/>
        </w:rPr>
        <w:t>[Al</w:t>
      </w:r>
      <w:r w:rsidRPr="002770CA">
        <w:rPr>
          <w:rFonts w:ascii="Times New Roman" w:eastAsia="Times New Roman" w:hAnsi="Times New Roman" w:cs="Times New Roman"/>
          <w:color w:val="000000"/>
          <w:sz w:val="28"/>
          <w:szCs w:val="28"/>
          <w:vertAlign w:val="subscript"/>
          <w:lang w:eastAsia="ru-RU"/>
        </w:rPr>
        <w:t>4</w:t>
      </w:r>
      <w:r w:rsidRPr="002770CA">
        <w:rPr>
          <w:rFonts w:ascii="Times New Roman" w:eastAsia="Times New Roman" w:hAnsi="Times New Roman" w:cs="Times New Roman"/>
          <w:color w:val="000000"/>
          <w:sz w:val="28"/>
          <w:szCs w:val="28"/>
          <w:shd w:val="clear" w:color="auto" w:fill="FFFFFF"/>
          <w:lang w:eastAsia="ru-RU"/>
        </w:rPr>
        <w:t>(Si</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shd w:val="clear" w:color="auto" w:fill="FFFFFF"/>
          <w:lang w:eastAsia="ru-RU"/>
        </w:rPr>
        <w:t>Al)O</w:t>
      </w:r>
      <w:r w:rsidRPr="002770CA">
        <w:rPr>
          <w:rFonts w:ascii="Times New Roman" w:eastAsia="Times New Roman" w:hAnsi="Times New Roman" w:cs="Times New Roman"/>
          <w:color w:val="000000"/>
          <w:sz w:val="28"/>
          <w:szCs w:val="28"/>
          <w:vertAlign w:val="subscript"/>
          <w:lang w:eastAsia="ru-RU"/>
        </w:rPr>
        <w:t>19</w:t>
      </w:r>
      <w:r w:rsidRPr="002770CA">
        <w:rPr>
          <w:rFonts w:ascii="Times New Roman" w:eastAsia="Times New Roman" w:hAnsi="Times New Roman" w:cs="Times New Roman"/>
          <w:color w:val="000000"/>
          <w:sz w:val="28"/>
          <w:szCs w:val="28"/>
          <w:shd w:val="clear" w:color="auto" w:fill="FFFFFF"/>
          <w:lang w:eastAsia="ru-RU"/>
        </w:rPr>
        <w:t>(F</w:t>
      </w:r>
      <w:r w:rsidRPr="002770CA">
        <w:rPr>
          <w:rFonts w:ascii="Times New Roman" w:eastAsia="Times New Roman" w:hAnsi="Times New Roman" w:cs="Times New Roman"/>
          <w:color w:val="000000"/>
          <w:sz w:val="28"/>
          <w:szCs w:val="28"/>
          <w:vertAlign w:val="subscript"/>
          <w:lang w:eastAsia="ru-RU"/>
        </w:rPr>
        <w:t>0,5</w:t>
      </w:r>
      <w:r w:rsidRPr="002770CA">
        <w:rPr>
          <w:rFonts w:ascii="Times New Roman" w:eastAsia="Times New Roman" w:hAnsi="Times New Roman" w:cs="Times New Roman"/>
          <w:color w:val="000000"/>
          <w:sz w:val="28"/>
          <w:szCs w:val="28"/>
          <w:shd w:val="clear" w:color="auto" w:fill="FFFFFF"/>
          <w:lang w:eastAsia="ru-RU"/>
        </w:rPr>
        <w:t>O,OH)]} - высокотемпературная фаза с неупорядоченной структурой, а так же тридимит (SiO</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 – минерал метастабильной фазы, характерный для молодых образований, в том числе для зол и шлаков.Муллит, содержащий 71,83% Al</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O</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и 28,17% SiO</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образуется при термическом перерождении ряда глинистых минералов (каолинит - Al</w:t>
      </w:r>
      <w:r w:rsidRPr="002770CA">
        <w:rPr>
          <w:rFonts w:ascii="Times New Roman" w:eastAsia="Times New Roman" w:hAnsi="Times New Roman" w:cs="Times New Roman"/>
          <w:color w:val="000000"/>
          <w:sz w:val="28"/>
          <w:szCs w:val="28"/>
          <w:vertAlign w:val="subscript"/>
          <w:lang w:eastAsia="ru-RU"/>
        </w:rPr>
        <w:t>4</w:t>
      </w:r>
      <w:r w:rsidRPr="002770CA">
        <w:rPr>
          <w:rFonts w:ascii="Times New Roman" w:eastAsia="Times New Roman" w:hAnsi="Times New Roman" w:cs="Times New Roman"/>
          <w:color w:val="000000"/>
          <w:sz w:val="28"/>
          <w:szCs w:val="28"/>
          <w:shd w:val="clear" w:color="auto" w:fill="FFFFFF"/>
          <w:lang w:eastAsia="ru-RU"/>
        </w:rPr>
        <w:t>[Si</w:t>
      </w:r>
      <w:r w:rsidRPr="002770CA">
        <w:rPr>
          <w:rFonts w:ascii="Times New Roman" w:eastAsia="Times New Roman" w:hAnsi="Times New Roman" w:cs="Times New Roman"/>
          <w:color w:val="000000"/>
          <w:sz w:val="28"/>
          <w:szCs w:val="28"/>
          <w:vertAlign w:val="subscript"/>
          <w:lang w:eastAsia="ru-RU"/>
        </w:rPr>
        <w:t>4</w:t>
      </w:r>
      <w:r w:rsidRPr="002770CA">
        <w:rPr>
          <w:rFonts w:ascii="Times New Roman" w:eastAsia="Times New Roman" w:hAnsi="Times New Roman" w:cs="Times New Roman"/>
          <w:color w:val="000000"/>
          <w:sz w:val="28"/>
          <w:szCs w:val="28"/>
          <w:shd w:val="clear" w:color="auto" w:fill="FFFFFF"/>
          <w:lang w:eastAsia="ru-RU"/>
        </w:rPr>
        <w:t>O</w:t>
      </w:r>
      <w:r w:rsidRPr="002770CA">
        <w:rPr>
          <w:rFonts w:ascii="Times New Roman" w:eastAsia="Times New Roman" w:hAnsi="Times New Roman" w:cs="Times New Roman"/>
          <w:color w:val="000000"/>
          <w:sz w:val="28"/>
          <w:szCs w:val="28"/>
          <w:vertAlign w:val="subscript"/>
          <w:lang w:eastAsia="ru-RU"/>
        </w:rPr>
        <w:t>10</w:t>
      </w:r>
      <w:r w:rsidRPr="002770CA">
        <w:rPr>
          <w:rFonts w:ascii="Times New Roman" w:eastAsia="Times New Roman" w:hAnsi="Times New Roman" w:cs="Times New Roman"/>
          <w:color w:val="000000"/>
          <w:sz w:val="28"/>
          <w:szCs w:val="28"/>
          <w:shd w:val="clear" w:color="auto" w:fill="FFFFFF"/>
          <w:lang w:eastAsia="ru-RU"/>
        </w:rPr>
        <w:t>][OH]</w:t>
      </w:r>
      <w:r w:rsidRPr="002770CA">
        <w:rPr>
          <w:rFonts w:ascii="Times New Roman" w:eastAsia="Times New Roman" w:hAnsi="Times New Roman" w:cs="Times New Roman"/>
          <w:color w:val="000000"/>
          <w:sz w:val="28"/>
          <w:szCs w:val="28"/>
          <w:vertAlign w:val="subscript"/>
          <w:lang w:eastAsia="ru-RU"/>
        </w:rPr>
        <w:t>8</w:t>
      </w:r>
      <w:r w:rsidRPr="002770CA">
        <w:rPr>
          <w:rFonts w:ascii="Times New Roman" w:eastAsia="Times New Roman" w:hAnsi="Times New Roman" w:cs="Times New Roman"/>
          <w:color w:val="000000"/>
          <w:sz w:val="28"/>
          <w:szCs w:val="28"/>
          <w:shd w:val="clear" w:color="auto" w:fill="FFFFFF"/>
          <w:lang w:eastAsia="ru-RU"/>
        </w:rPr>
        <w:t>, галлуазит, пирофиллит и др.), мусковита, гидрослюды и других природных алюмосиликатов. По экономическому значению и объёмам производства муллит входит в число важнейших искусственных минералов.Содержание глинозёма (Al</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O</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shd w:val="clear" w:color="auto" w:fill="FFFFFF"/>
          <w:lang w:eastAsia="ru-RU"/>
        </w:rPr>
        <w:t>) в золах сопоставимо с его содержанием в бокситах (С³45%), поэтому золы Рефтинской ГРЭС могут служить сырьём для производства алюминия. Попутно с глинозёмом возможно извлечение фосфора.Среди элементов примесей особое внимание привлекают редкие элементы Sc, Zr, Ti и B. Необходимы дальнейшие исследования с целью их количественной оценки.</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Складирование золошлаковых отходов сопряжено с широкомасштабным их воздействием на окружающую среду (ОС), выражающееся в отчуждении земель и загрязнении атмосферы, подземных и поверхностных вод. Однако, проблема использования шлакозольных отвалов до настоящего времени не решена. Ежегодно утилизируется в основном в производстве стройматериалов менее 1% от образующегося за тот же период времени количества золы.О воздействии золоотвалов на ОС можно судить по результатам обследования золоотвалов АО «Свердловэнерго», входящего в состав РАО «ЕЭС».</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Воздействие на водные ресурсы.На всех электростанциях АО «Свердловэнерго» организовано оборотное водоснабжение. Однако, несмотря на наличие замкнутого цикла водоснабжения, в действительности существует сброс загрязнённых вод с золоотвалов в поверхностные и подземные водные системы. Основной причиной сброса являются фильтрационные потери оборотной воды из гидрозолоотвалов через ограждающие дамбы и их основания.Химический состав оборотной воды электростанций АО «Свердловаэнерго» характеризует таблица 3.</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Таблица 3Химический состав оборотной воды электростанций АО «Свердловэнерго».</w:t>
      </w:r>
    </w:p>
    <w:tbl>
      <w:tblPr>
        <w:tblW w:w="9645"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1263"/>
        <w:gridCol w:w="1974"/>
        <w:gridCol w:w="1931"/>
        <w:gridCol w:w="2734"/>
        <w:gridCol w:w="1743"/>
      </w:tblGrid>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Элемент</w:t>
            </w:r>
          </w:p>
        </w:tc>
        <w:tc>
          <w:tcPr>
            <w:tcW w:w="2106"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Содержание, мг/л*</w:t>
            </w:r>
          </w:p>
        </w:tc>
        <w:tc>
          <w:tcPr>
            <w:tcW w:w="4588" w:type="dxa"/>
            <w:gridSpan w:val="2"/>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ПДК элементов в воде водоёмов различного назначения</w:t>
            </w:r>
          </w:p>
        </w:tc>
        <w:tc>
          <w:tcPr>
            <w:tcW w:w="169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Кратность превышения ПДК**</w:t>
            </w:r>
          </w:p>
        </w:tc>
      </w:tr>
      <w:tr w:rsidR="002770CA" w:rsidRPr="002770CA" w:rsidTr="00E570F2">
        <w:trPr>
          <w:trHeight w:val="1118"/>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Хозяйственно бытового назначения, мг/л</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Рыбохозяйственного пользования, мг/л</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Al</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0,61 – 2,73</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0,5</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V</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0,0046 – 0,23</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0,001</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4,6 – 230</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Fe</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0,14 –0,39</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0,3</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0,1</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1,4 – 3,9</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Si</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6,1 – 16,4</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10,0</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Mn</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0,024 – 0,087</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0,01</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2,4 – 8,7</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Cu</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0,002 – 0,014</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1,0</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0,001 медь-ион</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 – 14</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Mo</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0,0009 – 0,067</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0,25</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0,0004 по Мо +6</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2,3 – 170</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As</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0,2 – 0,9</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0,05</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4 – 18</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Ni</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0,0049 – 0,031</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0,1</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0,01 по иону</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 – 3,1</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F</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0,2 – 10</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0,7</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0,05</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4 – 200</w:t>
            </w:r>
          </w:p>
        </w:tc>
      </w:tr>
      <w:tr w:rsidR="002770CA" w:rsidRPr="002770CA" w:rsidTr="00E570F2">
        <w:trPr>
          <w:tblCellSpacing w:w="0" w:type="dxa"/>
        </w:trPr>
        <w:tc>
          <w:tcPr>
            <w:tcW w:w="1261"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Cr</w:t>
            </w:r>
          </w:p>
        </w:tc>
        <w:tc>
          <w:tcPr>
            <w:tcW w:w="2106"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0,0026 – 0,051</w:t>
            </w:r>
          </w:p>
        </w:tc>
        <w:tc>
          <w:tcPr>
            <w:tcW w:w="1943"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0,5</w:t>
            </w:r>
          </w:p>
        </w:tc>
        <w:tc>
          <w:tcPr>
            <w:tcW w:w="264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0,005</w:t>
            </w:r>
          </w:p>
        </w:tc>
        <w:tc>
          <w:tcPr>
            <w:tcW w:w="169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0 – 10,2</w:t>
            </w:r>
          </w:p>
        </w:tc>
      </w:tr>
    </w:tbl>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lastRenderedPageBreak/>
        <w:t>* Изменение содержания каждого из элементов обусловлено сжиганием углей разных типов и зольности (Экибастузский – до 43%, Волчанский – 20-37%, Буланашский – 20-37%, Кузнецкий – до 22%).**Использованы значения рыбохозяйственных ПДК.Из таблицы 3 следует, что в оборотных водах всех золоотвалов имеет место превышение ПДК для всех элементов, а для V, Мо и F - до 170-230 раз. Объём сброса оборотной воды с золоотвалов АО «Свердловэнерго» составляет не менее 7,6 млн</w:t>
      </w:r>
      <w:r w:rsidRPr="002770CA">
        <w:rPr>
          <w:rFonts w:ascii="Times New Roman" w:eastAsia="Times New Roman" w:hAnsi="Times New Roman" w:cs="Times New Roman"/>
          <w:color w:val="000000"/>
          <w:sz w:val="28"/>
          <w:szCs w:val="28"/>
          <w:vertAlign w:val="superscript"/>
          <w:lang w:eastAsia="ru-RU"/>
        </w:rPr>
        <w:t>3</w:t>
      </w:r>
      <w:r w:rsidRPr="002770CA">
        <w:rPr>
          <w:rFonts w:ascii="Times New Roman" w:eastAsia="Times New Roman" w:hAnsi="Times New Roman" w:cs="Times New Roman"/>
          <w:color w:val="000000"/>
          <w:sz w:val="28"/>
          <w:szCs w:val="28"/>
          <w:shd w:val="clear" w:color="auto" w:fill="FFFFFF"/>
          <w:lang w:eastAsia="ru-RU"/>
        </w:rPr>
        <w:t>/год в поверхностные водоёмы (реки, ручьи) и более 50 млн</w:t>
      </w:r>
      <w:r w:rsidRPr="002770CA">
        <w:rPr>
          <w:rFonts w:ascii="Times New Roman" w:eastAsia="Times New Roman" w:hAnsi="Times New Roman" w:cs="Times New Roman"/>
          <w:color w:val="000000"/>
          <w:sz w:val="28"/>
          <w:szCs w:val="28"/>
          <w:vertAlign w:val="superscript"/>
          <w:lang w:eastAsia="ru-RU"/>
        </w:rPr>
        <w:t>3</w:t>
      </w:r>
      <w:r w:rsidRPr="002770CA">
        <w:rPr>
          <w:rFonts w:ascii="Times New Roman" w:eastAsia="Times New Roman" w:hAnsi="Times New Roman" w:cs="Times New Roman"/>
          <w:color w:val="000000"/>
          <w:sz w:val="28"/>
          <w:szCs w:val="28"/>
          <w:shd w:val="clear" w:color="auto" w:fill="FFFFFF"/>
          <w:lang w:eastAsia="ru-RU"/>
        </w:rPr>
        <w:t>/год в горизонты подземных вод посредством фильтрации через основания дамб.</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i/>
          <w:color w:val="000000"/>
          <w:sz w:val="28"/>
          <w:szCs w:val="28"/>
          <w:shd w:val="clear" w:color="auto" w:fill="FFFFFF"/>
          <w:lang w:eastAsia="ru-RU"/>
        </w:rPr>
        <w:t>Воздействие на земельные ресурсы.</w:t>
      </w:r>
      <w:r w:rsidRPr="002770CA">
        <w:rPr>
          <w:rFonts w:ascii="Times New Roman" w:eastAsia="Times New Roman" w:hAnsi="Times New Roman" w:cs="Times New Roman"/>
          <w:color w:val="000000"/>
          <w:sz w:val="28"/>
          <w:szCs w:val="28"/>
          <w:shd w:val="clear" w:color="auto" w:fill="FFFFFF"/>
          <w:lang w:eastAsia="ru-RU"/>
        </w:rPr>
        <w:t>Площади, занимаемые каждым золоотвалом, измеряются сотнями гектаров, составляя в целом для АО «Свердловэнерго» не менее 3100 га, а с учётом площади санитарно-защитных зон (около 1700 га) из землепользования исключается 4800 га только для одной Свердловской области.</w:t>
      </w:r>
      <w:r w:rsidRPr="002770CA">
        <w:rPr>
          <w:rFonts w:ascii="Times New Roman" w:eastAsia="Times New Roman" w:hAnsi="Times New Roman" w:cs="Times New Roman"/>
          <w:color w:val="000000"/>
          <w:sz w:val="28"/>
          <w:szCs w:val="28"/>
          <w:lang w:eastAsia="ru-RU"/>
        </w:rPr>
        <w:t> </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i/>
          <w:color w:val="000000"/>
          <w:sz w:val="28"/>
          <w:szCs w:val="28"/>
          <w:shd w:val="clear" w:color="auto" w:fill="FFFFFF"/>
          <w:lang w:eastAsia="ru-RU"/>
        </w:rPr>
        <w:t>Воздействие на атмосферу</w:t>
      </w:r>
      <w:r w:rsidRPr="002770CA">
        <w:rPr>
          <w:rFonts w:ascii="Times New Roman" w:eastAsia="Times New Roman" w:hAnsi="Times New Roman" w:cs="Times New Roman"/>
          <w:color w:val="000000"/>
          <w:sz w:val="28"/>
          <w:szCs w:val="28"/>
          <w:shd w:val="clear" w:color="auto" w:fill="FFFFFF"/>
          <w:lang w:eastAsia="ru-RU"/>
        </w:rPr>
        <w:t>. Основными источниками загрязнения атмосферы являются пылящие поверхности золоотвалов. Их негативное воздействие заключается в загрязнении воздушного бассейна неорганической пылью в результате ветровой эрозии сухой части поверхности отвалов. Результаты расчётов показали, что для золоотвалов АО «Свердловэнерго» площадь пылящих поверхностей составляет около 600 га, т.е. около 20% общей площади золоотвалов, а суммарный объём пылевыделения превышает 1700 т/год.</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i/>
          <w:color w:val="000000"/>
          <w:sz w:val="28"/>
          <w:szCs w:val="28"/>
          <w:shd w:val="clear" w:color="auto" w:fill="FFFFFF"/>
          <w:lang w:eastAsia="ru-RU"/>
        </w:rPr>
        <w:t>Риск экологических последствий аварийных ситуаций</w:t>
      </w:r>
      <w:r w:rsidRPr="002770CA">
        <w:rPr>
          <w:rFonts w:ascii="Times New Roman" w:eastAsia="Times New Roman" w:hAnsi="Times New Roman" w:cs="Times New Roman"/>
          <w:color w:val="000000"/>
          <w:sz w:val="28"/>
          <w:szCs w:val="28"/>
          <w:shd w:val="clear" w:color="auto" w:fill="FFFFFF"/>
          <w:lang w:eastAsia="ru-RU"/>
        </w:rPr>
        <w:t>. Экологический риск, т.е. вероятность возникновения неблагоприятных для ОС и человека последствий складирования золошлаковых отходов на золоотвалах обуславливается возможностью прорыва ограждающих дамб, что в действительности хотя и не часто, но имеет место. Таким образом, в свете рассмотренного воздействия золоотвалов на ОС, совершенно очевидна необходимость проведения исследований по утилизации техногенных отходов, накапливающихся в золоотвалах топливно-энергетического комплекса России. В решении этой проблемы заинтересован и топливно-энергетический комплекс, выплачивающий многие сотни миллионов рублей в год за загрязнение ОС, складирование отходов, изъятия земель.</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center"/>
        <w:rPr>
          <w:rFonts w:ascii="Times New Roman" w:eastAsia="Times New Roman" w:hAnsi="Times New Roman" w:cs="Times New Roman"/>
          <w:b/>
          <w:bCs/>
          <w:color w:val="000000"/>
          <w:sz w:val="28"/>
          <w:szCs w:val="28"/>
          <w:lang w:eastAsia="ru-RU"/>
        </w:rPr>
      </w:pPr>
      <w:r w:rsidRPr="002770CA">
        <w:rPr>
          <w:rFonts w:ascii="Times New Roman" w:eastAsia="Times New Roman" w:hAnsi="Times New Roman" w:cs="Times New Roman"/>
          <w:b/>
          <w:bCs/>
          <w:color w:val="000000"/>
          <w:sz w:val="28"/>
          <w:szCs w:val="28"/>
          <w:lang w:eastAsia="ru-RU"/>
        </w:rPr>
        <w:t>3.2 ТМ угольной подотрасли</w:t>
      </w:r>
    </w:p>
    <w:p w:rsidR="002770CA" w:rsidRPr="002770CA" w:rsidRDefault="002770CA" w:rsidP="002770CA">
      <w:pPr>
        <w:spacing w:after="0" w:line="240" w:lineRule="auto"/>
        <w:ind w:firstLine="709"/>
        <w:jc w:val="both"/>
        <w:rPr>
          <w:rFonts w:ascii="Times New Roman" w:eastAsia="Times New Roman" w:hAnsi="Times New Roman" w:cs="Times New Roman"/>
          <w:b/>
          <w:bCs/>
          <w:color w:val="000000"/>
          <w:sz w:val="28"/>
          <w:szCs w:val="28"/>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При добыче и обработке ископаемых углей возникает большое количество отходов, содержащих кроме пустой породы значительное количество угля.</w:t>
      </w:r>
      <w:r w:rsidRPr="002770CA">
        <w:rPr>
          <w:rFonts w:ascii="Times New Roman" w:eastAsia="Times New Roman" w:hAnsi="Times New Roman" w:cs="Times New Roman"/>
          <w:color w:val="000000"/>
          <w:sz w:val="28"/>
          <w:szCs w:val="28"/>
          <w:lang w:eastAsia="ru-RU"/>
        </w:rPr>
        <w:t> </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 xml:space="preserve">Первую группу этих отходов составляют углесодержащие вскрышные (при открытой добыче угля) и шахтные породы, т.е. ТМ горнодобывающей промышленности, возникающие при добыче полезных ископаемых (см. классификацию ТМ). К настоящему времени нет достаточных сведений о ежегодных масштабах образования и складирования в отвалах подобных отходов. Наиболее изучены они в Кузнецком бассейне, где, по </w:t>
      </w:r>
      <w:r w:rsidRPr="002770CA">
        <w:rPr>
          <w:rFonts w:ascii="Times New Roman" w:eastAsia="Times New Roman" w:hAnsi="Times New Roman" w:cs="Times New Roman"/>
          <w:color w:val="000000"/>
          <w:sz w:val="28"/>
          <w:szCs w:val="28"/>
          <w:shd w:val="clear" w:color="auto" w:fill="FFFFFF"/>
          <w:lang w:eastAsia="ru-RU"/>
        </w:rPr>
        <w:lastRenderedPageBreak/>
        <w:t>ориентировочным расчётам, ежегодно получают 12-15 млн.т вскрышных пород со средней зольностью 72-86%.</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Вторую группу представляют отходы углеобогатительных фабрик, где они составляют 5-40% от перерабатываемой массы добытого сырья и превышают 1 млн.т/год на каждой фабрике. В зависимости от способов обогащения угля образуются кусковые и мелкодисперсные отходы соответственно при гравитационном и флотационном методах обогащения. Выход кусковых углеотходов обогатительных фабрик Кузнецкого бассейна составил в 1987 году около 11,5 млн.т, а Уральских – 4,8 млн.т.</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Крупность зёрен при флотационном обогащении менее 1 мм. Представление о крупности кусковых отходов даёт таблица 4.</w:t>
      </w:r>
    </w:p>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Таблица 4.Гранулометрический состав отходов гравитационного обогащения.</w:t>
      </w:r>
    </w:p>
    <w:tbl>
      <w:tblPr>
        <w:tblW w:w="9195" w:type="dxa"/>
        <w:jc w:val="center"/>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2114"/>
        <w:gridCol w:w="1314"/>
        <w:gridCol w:w="1047"/>
        <w:gridCol w:w="958"/>
        <w:gridCol w:w="1313"/>
        <w:gridCol w:w="1313"/>
        <w:gridCol w:w="1136"/>
      </w:tblGrid>
      <w:tr w:rsidR="002770CA" w:rsidRPr="002770CA" w:rsidTr="00E570F2">
        <w:trPr>
          <w:tblCellSpacing w:w="0" w:type="dxa"/>
          <w:jc w:val="center"/>
        </w:trPr>
        <w:tc>
          <w:tcPr>
            <w:tcW w:w="17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Фракция, мм</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0 - 1</w:t>
            </w:r>
          </w:p>
        </w:tc>
        <w:tc>
          <w:tcPr>
            <w:tcW w:w="88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1 - 6</w:t>
            </w:r>
          </w:p>
        </w:tc>
        <w:tc>
          <w:tcPr>
            <w:tcW w:w="8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6 - 113</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13 - 25</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25 – 50</w:t>
            </w:r>
          </w:p>
        </w:tc>
        <w:tc>
          <w:tcPr>
            <w:tcW w:w="96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&gt;50</w:t>
            </w:r>
          </w:p>
        </w:tc>
      </w:tr>
      <w:tr w:rsidR="002770CA" w:rsidRPr="002770CA" w:rsidTr="00E570F2">
        <w:trPr>
          <w:tblCellSpacing w:w="0" w:type="dxa"/>
          <w:jc w:val="center"/>
        </w:trPr>
        <w:tc>
          <w:tcPr>
            <w:tcW w:w="17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Содержание, %</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1,5</w:t>
            </w:r>
          </w:p>
        </w:tc>
        <w:tc>
          <w:tcPr>
            <w:tcW w:w="88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2</w:t>
            </w:r>
          </w:p>
        </w:tc>
        <w:tc>
          <w:tcPr>
            <w:tcW w:w="8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3</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14,8</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50,6</w:t>
            </w:r>
          </w:p>
        </w:tc>
        <w:tc>
          <w:tcPr>
            <w:tcW w:w="96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28,1</w:t>
            </w:r>
          </w:p>
        </w:tc>
      </w:tr>
      <w:tr w:rsidR="002770CA" w:rsidRPr="002770CA" w:rsidTr="00E570F2">
        <w:trPr>
          <w:tblCellSpacing w:w="0" w:type="dxa"/>
          <w:jc w:val="center"/>
        </w:trPr>
        <w:tc>
          <w:tcPr>
            <w:tcW w:w="17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Зольность, %</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72,4</w:t>
            </w:r>
          </w:p>
        </w:tc>
        <w:tc>
          <w:tcPr>
            <w:tcW w:w="88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82,3</w:t>
            </w:r>
          </w:p>
        </w:tc>
        <w:tc>
          <w:tcPr>
            <w:tcW w:w="8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86,2</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80,3</w:t>
            </w:r>
          </w:p>
        </w:tc>
        <w:tc>
          <w:tcPr>
            <w:tcW w:w="11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78,8</w:t>
            </w:r>
          </w:p>
        </w:tc>
        <w:tc>
          <w:tcPr>
            <w:tcW w:w="96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sz w:val="28"/>
                <w:szCs w:val="28"/>
                <w:lang w:eastAsia="ru-RU"/>
              </w:rPr>
              <w:br/>
              <w:t>85</w:t>
            </w:r>
          </w:p>
        </w:tc>
      </w:tr>
    </w:tbl>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Содержание мелкой фракции (&lt;13 мм) не превышает 6,5%, а зольность почти не зависит от размера кускового материала.Представление о химическом составе отходов обогатительных фабрик можно получить, проанализировав данные таблицы 5.</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Таблица 5Характеристика углеотходов.</w:t>
      </w:r>
    </w:p>
    <w:tbl>
      <w:tblPr>
        <w:tblW w:w="9645"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1817"/>
        <w:gridCol w:w="1452"/>
        <w:gridCol w:w="682"/>
        <w:gridCol w:w="766"/>
        <w:gridCol w:w="903"/>
        <w:gridCol w:w="903"/>
        <w:gridCol w:w="754"/>
        <w:gridCol w:w="832"/>
        <w:gridCol w:w="1536"/>
      </w:tblGrid>
      <w:tr w:rsidR="002770CA" w:rsidRPr="002770CA" w:rsidTr="00E570F2">
        <w:trPr>
          <w:tblCellSpacing w:w="0" w:type="dxa"/>
        </w:trPr>
        <w:tc>
          <w:tcPr>
            <w:tcW w:w="16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Угольный бассейн</w:t>
            </w:r>
          </w:p>
        </w:tc>
        <w:tc>
          <w:tcPr>
            <w:tcW w:w="9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Зольность</w:t>
            </w:r>
          </w:p>
        </w:tc>
        <w:tc>
          <w:tcPr>
            <w:tcW w:w="6435" w:type="dxa"/>
            <w:gridSpan w:val="7"/>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Химический состав, %</w:t>
            </w:r>
          </w:p>
        </w:tc>
      </w:tr>
      <w:tr w:rsidR="002770CA" w:rsidRPr="002770CA" w:rsidTr="00E570F2">
        <w:trPr>
          <w:tblCellSpacing w:w="0" w:type="dxa"/>
        </w:trPr>
        <w:tc>
          <w:tcPr>
            <w:tcW w:w="16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9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C</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SiO</w:t>
            </w:r>
            <w:r w:rsidRPr="002770CA">
              <w:rPr>
                <w:rFonts w:ascii="Times New Roman" w:eastAsia="Times New Roman" w:hAnsi="Times New Roman" w:cs="Times New Roman"/>
                <w:color w:val="000000"/>
                <w:sz w:val="28"/>
                <w:szCs w:val="28"/>
                <w:vertAlign w:val="subscript"/>
                <w:lang w:eastAsia="ru-RU"/>
              </w:rPr>
              <w:t>2</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Al</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lang w:eastAsia="ru-RU"/>
              </w:rPr>
              <w:t>O</w:t>
            </w:r>
            <w:r w:rsidRPr="002770CA">
              <w:rPr>
                <w:rFonts w:ascii="Times New Roman" w:eastAsia="Times New Roman" w:hAnsi="Times New Roman" w:cs="Times New Roman"/>
                <w:color w:val="000000"/>
                <w:sz w:val="28"/>
                <w:szCs w:val="28"/>
                <w:vertAlign w:val="subscript"/>
                <w:lang w:eastAsia="ru-RU"/>
              </w:rPr>
              <w:t>3</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Fe</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lang w:eastAsia="ru-RU"/>
              </w:rPr>
              <w:t>O</w:t>
            </w:r>
            <w:r w:rsidRPr="002770CA">
              <w:rPr>
                <w:rFonts w:ascii="Times New Roman" w:eastAsia="Times New Roman" w:hAnsi="Times New Roman" w:cs="Times New Roman"/>
                <w:color w:val="000000"/>
                <w:sz w:val="28"/>
                <w:szCs w:val="28"/>
                <w:vertAlign w:val="subscript"/>
                <w:lang w:eastAsia="ru-RU"/>
              </w:rPr>
              <w:t>3</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CaO</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MgO</w:t>
            </w:r>
          </w:p>
        </w:tc>
        <w:tc>
          <w:tcPr>
            <w:tcW w:w="7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S</w:t>
            </w:r>
          </w:p>
        </w:tc>
      </w:tr>
      <w:tr w:rsidR="002770CA" w:rsidRPr="002770CA" w:rsidTr="00E570F2">
        <w:trPr>
          <w:tblCellSpacing w:w="0" w:type="dxa"/>
        </w:trPr>
        <w:tc>
          <w:tcPr>
            <w:tcW w:w="16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Кузнецкий</w:t>
            </w:r>
          </w:p>
        </w:tc>
        <w:tc>
          <w:tcPr>
            <w:tcW w:w="9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64 – 90</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4 – 22</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57 – 70 </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14 – 26</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3 – 10 </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 – 7 </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0,3 – 3</w:t>
            </w:r>
          </w:p>
        </w:tc>
        <w:tc>
          <w:tcPr>
            <w:tcW w:w="7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0,1-1,4 </w:t>
            </w:r>
          </w:p>
        </w:tc>
      </w:tr>
      <w:tr w:rsidR="002770CA" w:rsidRPr="002770CA" w:rsidTr="00E570F2">
        <w:trPr>
          <w:tblCellSpacing w:w="0" w:type="dxa"/>
        </w:trPr>
        <w:tc>
          <w:tcPr>
            <w:tcW w:w="16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Челябинский</w:t>
            </w:r>
          </w:p>
        </w:tc>
        <w:tc>
          <w:tcPr>
            <w:tcW w:w="9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66 – 80</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9 - 25</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53 – 56 </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22 – 24</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11 – 18</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 – 5 </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3 – 4 </w:t>
            </w:r>
          </w:p>
        </w:tc>
        <w:tc>
          <w:tcPr>
            <w:tcW w:w="7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0-0,8 </w:t>
            </w:r>
          </w:p>
        </w:tc>
      </w:tr>
      <w:tr w:rsidR="002770CA" w:rsidRPr="002770CA" w:rsidTr="00E570F2">
        <w:trPr>
          <w:tblCellSpacing w:w="0" w:type="dxa"/>
        </w:trPr>
        <w:tc>
          <w:tcPr>
            <w:tcW w:w="16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lastRenderedPageBreak/>
              <w:br/>
              <w:t>Кизеловский</w:t>
            </w:r>
          </w:p>
        </w:tc>
        <w:tc>
          <w:tcPr>
            <w:tcW w:w="93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60 – 68</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17 – 23 </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53 – 58 </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12 – 22</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16 – 22</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0,8 – 2</w:t>
            </w:r>
          </w:p>
        </w:tc>
        <w:tc>
          <w:tcPr>
            <w:tcW w:w="73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0,8 – 2</w:t>
            </w:r>
          </w:p>
        </w:tc>
        <w:tc>
          <w:tcPr>
            <w:tcW w:w="72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7 – 10 </w:t>
            </w:r>
          </w:p>
        </w:tc>
      </w:tr>
    </w:tbl>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Преобладающей горной породой в углеотходах уральских месторождений является аргиллит, в небольших количествах присутствуют алевролиты, песчаники, карбонаты и сульфиды.</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Основные минералы представлены каолинитом (20-40%), гидрослюдами (5-25%) и кварцем (30-40%). Кизеловские отходы имеют повышенное содержание сульфидов железа, следствием чего является более высокое содержание в них серы.Содержание углерода зависит от качества обогащения.</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Углеотходы представляют интерес для цементной промышленности, которая может утилизировать значительный их объём. Например, в Польше ежегодно используют 40 000 т отходов углеобогащения, применяя их в качестве компонента исходного сырья цемента в количестве 8-18%. НаДнепродзержинском цементном заводе в сырьевую смесь вводят 8-9% углеотходов. На Одесском цементном заводе используют углемоечные отходы коксохимического производства для частичной замены глины и снижения расходов топлива на обжиг клинкера (около 11%).</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Воздействие отходов обогащения углей на ОС аналогично, по-видимому, воздействию золоотвалов ТЭС, рассмотренному выше.</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numPr>
          <w:ilvl w:val="1"/>
          <w:numId w:val="2"/>
        </w:numPr>
        <w:spacing w:after="0" w:line="240" w:lineRule="auto"/>
        <w:ind w:firstLine="709"/>
        <w:contextualSpacing/>
        <w:jc w:val="center"/>
        <w:rPr>
          <w:rFonts w:ascii="Times New Roman" w:eastAsia="Times New Roman" w:hAnsi="Times New Roman" w:cs="Times New Roman"/>
          <w:b/>
          <w:bCs/>
          <w:color w:val="000000"/>
          <w:sz w:val="28"/>
          <w:szCs w:val="28"/>
          <w:lang w:eastAsia="ru-RU"/>
        </w:rPr>
      </w:pPr>
      <w:r w:rsidRPr="002770CA">
        <w:rPr>
          <w:rFonts w:ascii="Times New Roman" w:eastAsia="Times New Roman" w:hAnsi="Times New Roman" w:cs="Times New Roman"/>
          <w:b/>
          <w:bCs/>
          <w:color w:val="000000"/>
          <w:sz w:val="28"/>
          <w:szCs w:val="28"/>
          <w:lang w:eastAsia="ru-RU"/>
        </w:rPr>
        <w:t>ТМ цветных и редких металлов</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ТМ этой группы объединяют ТМ, возникающие при добыче, обогащении и переработке продуктов обогащения руд цветных (Cu, Zn, Pb, Al и Mg) и редких (Ni, Sn, Mo, W, Bi, V, Co, As, Sb и Hg) металлов. Как правило, ТМ этой группы относятся к месторождениям смешанного типа, т.е. пригодны как для доизвлечения металла, так и получения стройматериалов.</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ТМ, сложенные вскрышными и вмещающими породами и некондиционными рудами, представлены рыхлыми, полускальными и скальными горными породами и рудами различного вещественного состава, слагающими коренные месторождения. В этом типе месторождений обычно не наблюдается закономерностей в распределении наиболее богатых металлом участков.</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ТМ, возникающие при обогащении руд, представлены хвостохранилищами, сложенными измельчённым материалом с водонасыщением до 20-50%, плотностью от 1,5 до 2,5 т/м</w:t>
      </w:r>
      <w:r w:rsidRPr="002770CA">
        <w:rPr>
          <w:rFonts w:ascii="Times New Roman" w:eastAsia="Times New Roman" w:hAnsi="Times New Roman" w:cs="Times New Roman"/>
          <w:color w:val="000000"/>
          <w:sz w:val="28"/>
          <w:szCs w:val="28"/>
          <w:vertAlign w:val="superscript"/>
          <w:lang w:eastAsia="ru-RU"/>
        </w:rPr>
        <w:t>3 </w:t>
      </w:r>
      <w:r w:rsidRPr="002770CA">
        <w:rPr>
          <w:rFonts w:ascii="Times New Roman" w:eastAsia="Times New Roman" w:hAnsi="Times New Roman" w:cs="Times New Roman"/>
          <w:color w:val="000000"/>
          <w:sz w:val="28"/>
          <w:szCs w:val="28"/>
          <w:shd w:val="clear" w:color="auto" w:fill="FFFFFF"/>
          <w:lang w:eastAsia="ru-RU"/>
        </w:rPr>
        <w:t>и содержанием глинистых частиц до 50%.</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 xml:space="preserve">При флотационном обогащении основная масса хвостохранилищ представлена пылевидным материалом, а при гравитационном – мелкозернистым. В пылевидном материале частиц с диаметром менее 0,1 мм </w:t>
      </w:r>
      <w:r w:rsidRPr="002770CA">
        <w:rPr>
          <w:rFonts w:ascii="Times New Roman" w:eastAsia="Times New Roman" w:hAnsi="Times New Roman" w:cs="Times New Roman"/>
          <w:color w:val="000000"/>
          <w:sz w:val="28"/>
          <w:szCs w:val="28"/>
          <w:shd w:val="clear" w:color="auto" w:fill="FFFFFF"/>
          <w:lang w:eastAsia="ru-RU"/>
        </w:rPr>
        <w:lastRenderedPageBreak/>
        <w:t>свыше 25%, а в мелкозернистом – частиц с диаметром меньше 0,1 мм менее 25%.Полезные компоненты распределены в хвостохранилищах неравномерно. Возникновение участков с повышенной концентрацией металла зависит не только от изменения показателей технологии обогащения, но и от ряда других факторов, таких как:</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 xml:space="preserve">- </w:t>
      </w:r>
      <w:r w:rsidRPr="002770CA">
        <w:rPr>
          <w:rFonts w:ascii="Times New Roman" w:eastAsia="Times New Roman" w:hAnsi="Times New Roman" w:cs="Times New Roman"/>
          <w:color w:val="000000"/>
          <w:sz w:val="28"/>
          <w:szCs w:val="28"/>
          <w:lang w:eastAsia="ru-RU"/>
        </w:rPr>
        <w:t>временной режим и место сброса пульпы, которые не являются постоянными;</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рельеф дна хвостохранилища;</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окислительные и восстановительные процессы в приповерхностной зоне (см. выше).</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Металлоносные участки представлены системой разобщённых пластообразных, линзообразных, изометрических и неправильной формы тел.В хвостохранилищах помимо цветных и редких металлов наблюдаются повышенные содержания благородных металлов (Ag, Au, Pt) и редкоземельных и рассеянных металлов (Ge, Se, Te и др.).</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Шлаки металлургического производства имеют две разновидности:</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 xml:space="preserve">- </w:t>
      </w:r>
      <w:r w:rsidRPr="002770CA">
        <w:rPr>
          <w:rFonts w:ascii="Times New Roman" w:eastAsia="Times New Roman" w:hAnsi="Times New Roman" w:cs="Times New Roman"/>
          <w:color w:val="000000"/>
          <w:sz w:val="28"/>
          <w:szCs w:val="28"/>
          <w:lang w:eastAsia="ru-RU"/>
        </w:rPr>
        <w:t>литые, поступающие в шлакоотвалы в горячем состоянии;</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гранулированные – исходные шлаки после предварительной грануляции.</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Распределение полезных компонент в шлаках зависит от изменения состава исходного сырья и показателей извлечения различных компонент, входящих в состав перерабатываемых концентратов, а так же от интенсивности процессов вторичного перераспределения металлов в них, которые для литых шлаков проявляются лишь в приповерхностной части, а для гранулированных – на большую глубину и более интенсивно.</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Особенно велики потери металлов при добыче и обогащении руд, а, следовательно, весьма значительны их запасы в ТМ горнодобывающей промышленности. Оценим эти запасы на примере крупнейшего комбината нашей страны – Тырныаузского (Предкавказье), осуществляющего добычу и переработку вольфрамовых руд.</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Кондиционными считаются руды с содержанием триоксида вольфрама C</w:t>
      </w:r>
      <w:r w:rsidRPr="002770CA">
        <w:rPr>
          <w:rFonts w:ascii="Times New Roman" w:eastAsia="Times New Roman" w:hAnsi="Times New Roman" w:cs="Times New Roman"/>
          <w:color w:val="000000"/>
          <w:sz w:val="28"/>
          <w:szCs w:val="28"/>
          <w:vertAlign w:val="subscript"/>
          <w:lang w:eastAsia="ru-RU"/>
        </w:rPr>
        <w:t>WO3 </w:t>
      </w:r>
      <w:r w:rsidRPr="002770CA">
        <w:rPr>
          <w:rFonts w:ascii="Times New Roman" w:eastAsia="Times New Roman" w:hAnsi="Times New Roman" w:cs="Times New Roman"/>
          <w:color w:val="000000"/>
          <w:sz w:val="28"/>
          <w:szCs w:val="28"/>
          <w:shd w:val="clear" w:color="auto" w:fill="FFFFFF"/>
          <w:lang w:eastAsia="ru-RU"/>
        </w:rPr>
        <w:t>&gt;0,1%. В хвостах флотации содержание C</w:t>
      </w:r>
      <w:r w:rsidRPr="002770CA">
        <w:rPr>
          <w:rFonts w:ascii="Times New Roman" w:eastAsia="Times New Roman" w:hAnsi="Times New Roman" w:cs="Times New Roman"/>
          <w:color w:val="000000"/>
          <w:sz w:val="28"/>
          <w:szCs w:val="28"/>
          <w:vertAlign w:val="subscript"/>
          <w:lang w:eastAsia="ru-RU"/>
        </w:rPr>
        <w:t>WO3 </w:t>
      </w:r>
      <w:r w:rsidRPr="002770CA">
        <w:rPr>
          <w:rFonts w:ascii="Times New Roman" w:eastAsia="Times New Roman" w:hAnsi="Times New Roman" w:cs="Times New Roman"/>
          <w:color w:val="000000"/>
          <w:sz w:val="28"/>
          <w:szCs w:val="28"/>
          <w:shd w:val="clear" w:color="auto" w:fill="FFFFFF"/>
          <w:lang w:eastAsia="ru-RU"/>
        </w:rPr>
        <w:t xml:space="preserve">&lt;0,04%. В процессе подготовительных горных работ эксплуатационный блок расчленяется на кондиционные и некондиционные руды, выемка которых из недр осуществляется раздельно: кондиционные руды отгружаются на обогатительную фабрику, а некондиционные направляются в отвал.Технологическая схема и показатели добычи и переработки руд показаны на рис. 2, из которого следует, что на долю кондиционных руд приходится всего 13,5% от всей добытой горной массы. В этих рудах содержится лишь 34,6% полезного компонента. Некондиционные руды, составляющие 86,5% добытой горной массы, уходят в отвал, унося с собой 65,4% металла, содержащегося в эксплуатационном блоке. Таким образом, уже первая стадия добычи коренных руд связана с огромными потерями полезного компонента, причём это потери не в недрах, а в отвалах.На обогатительной фабрике руда подвергается дроблению, измельчению и </w:t>
      </w:r>
      <w:r w:rsidRPr="002770CA">
        <w:rPr>
          <w:rFonts w:ascii="Times New Roman" w:eastAsia="Times New Roman" w:hAnsi="Times New Roman" w:cs="Times New Roman"/>
          <w:color w:val="000000"/>
          <w:sz w:val="28"/>
          <w:szCs w:val="28"/>
          <w:shd w:val="clear" w:color="auto" w:fill="FFFFFF"/>
          <w:lang w:eastAsia="ru-RU"/>
        </w:rPr>
        <w:lastRenderedPageBreak/>
        <w:t>флотации. В хвосты флотации уходит 13,48% рудной массы, вместе с которой уносится ещё 11,4% полезного компонента. В итоге из всей массы металла, содержащегося в эксплуатационном блоке, в товарный концентрат извлекается всего 23,2%, а 76,8% теряется в отвалах некондиционной руды и хвостохранилищах.</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Изучение технологической пробы некондиционной руды Тырныаузского месторождения показало, что отвалы некондиционной руды это полноценное техногенное месторождение, пригодное для переработки, причём со значительно меньшими затратами, чем месторождения коренных руд.Распределение содержания триоксида вольфрама в порциях этой пробы приведено в таблице 6.</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Таблица 6-Распределение триоксида вольфрама в порциях технологической пробы некондиционной руды Тырныаузского месторождения.</w:t>
      </w:r>
    </w:p>
    <w:tbl>
      <w:tblPr>
        <w:tblW w:w="9495"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1463"/>
        <w:gridCol w:w="1458"/>
        <w:gridCol w:w="1381"/>
        <w:gridCol w:w="1827"/>
        <w:gridCol w:w="1381"/>
        <w:gridCol w:w="2085"/>
      </w:tblGrid>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Групповые порции</w:t>
            </w:r>
          </w:p>
        </w:tc>
        <w:tc>
          <w:tcPr>
            <w:tcW w:w="114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Отдельные порции</w:t>
            </w:r>
          </w:p>
        </w:tc>
        <w:tc>
          <w:tcPr>
            <w:tcW w:w="3045" w:type="dxa"/>
            <w:gridSpan w:val="2"/>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Содержание WO</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lang w:eastAsia="ru-RU"/>
              </w:rPr>
              <w:t>, %</w:t>
            </w:r>
          </w:p>
        </w:tc>
        <w:tc>
          <w:tcPr>
            <w:tcW w:w="3030" w:type="dxa"/>
            <w:gridSpan w:val="2"/>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Количество WO</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lang w:eastAsia="ru-RU"/>
              </w:rPr>
              <w:t>, %</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В отдельной порции</w:t>
            </w:r>
          </w:p>
        </w:tc>
        <w:tc>
          <w:tcPr>
            <w:tcW w:w="1425"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Накопленное*</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В отдельной порции**</w:t>
            </w:r>
          </w:p>
        </w:tc>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Накопленное***</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I</w:t>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0,543</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0,543</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47,5</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47,5</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0,165</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0,342</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15,7</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63,2</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3</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0,101</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0,271</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7,5</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70,7</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4</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0,068</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0,217</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5,7</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76,4</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5</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0,054</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0,185</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5,0</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81,4</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II</w:t>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6</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0,036</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0,160</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3,3</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84,7</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7</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0,030</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0,142</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2,6</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87,3</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lastRenderedPageBreak/>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8</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0,026</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0,128</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2,2</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89,7</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9</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0,021</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0,115</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1,9</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91,4</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10</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0,017</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0,106</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1,4</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92,8</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III</w:t>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11</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0,015</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0,098</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1,3</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94,1</w:t>
            </w:r>
          </w:p>
        </w:tc>
      </w:tr>
      <w:tr w:rsidR="002770CA" w:rsidRPr="002770CA" w:rsidTr="00E570F2">
        <w:trPr>
          <w:tblCellSpacing w:w="0" w:type="dxa"/>
        </w:trPr>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1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12 - 20</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0,012</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0,057</w:t>
            </w:r>
          </w:p>
        </w:tc>
        <w:tc>
          <w:tcPr>
            <w:tcW w:w="1425"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4,6</w:t>
            </w:r>
          </w:p>
        </w:tc>
        <w:tc>
          <w:tcPr>
            <w:tcW w:w="1410" w:type="dxa"/>
            <w:tcBorders>
              <w:top w:val="outset" w:sz="6" w:space="0" w:color="000000"/>
              <w:left w:val="outset" w:sz="6" w:space="0" w:color="000000"/>
              <w:bottom w:val="outset" w:sz="6" w:space="0" w:color="000000"/>
              <w:right w:val="outset" w:sz="6" w:space="0" w:color="000000"/>
            </w:tcBorders>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100</w:t>
            </w:r>
          </w:p>
        </w:tc>
      </w:tr>
    </w:tbl>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*Среднее содержание WO</w:t>
      </w:r>
      <w:r w:rsidRPr="002770CA">
        <w:rPr>
          <w:rFonts w:ascii="Times New Roman" w:eastAsia="Times New Roman" w:hAnsi="Times New Roman" w:cs="Times New Roman"/>
          <w:color w:val="000000"/>
          <w:sz w:val="28"/>
          <w:szCs w:val="28"/>
          <w:vertAlign w:val="subscript"/>
          <w:lang w:eastAsia="ru-RU"/>
        </w:rPr>
        <w:t>3 </w:t>
      </w:r>
      <w:r w:rsidRPr="002770CA">
        <w:rPr>
          <w:rFonts w:ascii="Times New Roman" w:eastAsia="Times New Roman" w:hAnsi="Times New Roman" w:cs="Times New Roman"/>
          <w:color w:val="000000"/>
          <w:sz w:val="28"/>
          <w:szCs w:val="28"/>
          <w:shd w:val="clear" w:color="auto" w:fill="FFFFFF"/>
          <w:lang w:eastAsia="ru-RU"/>
        </w:rPr>
        <w:t>по всем вышестоящим порциям, включая данную (С</w:t>
      </w:r>
      <w:r w:rsidRPr="002770CA">
        <w:rPr>
          <w:rFonts w:ascii="Times New Roman" w:eastAsia="Times New Roman" w:hAnsi="Times New Roman" w:cs="Times New Roman"/>
          <w:color w:val="000000"/>
          <w:sz w:val="28"/>
          <w:szCs w:val="28"/>
          <w:vertAlign w:val="subscript"/>
          <w:lang w:eastAsia="ru-RU"/>
        </w:rPr>
        <w:t>n’</w:t>
      </w:r>
      <w:r w:rsidRPr="002770CA">
        <w:rPr>
          <w:rFonts w:ascii="Times New Roman" w:eastAsia="Times New Roman" w:hAnsi="Times New Roman" w:cs="Times New Roman"/>
          <w:color w:val="000000"/>
          <w:sz w:val="28"/>
          <w:szCs w:val="28"/>
          <w:shd w:val="clear" w:color="auto" w:fill="FFFFFF"/>
          <w:lang w:eastAsia="ru-RU"/>
        </w:rPr>
        <w:t>mi)</w:t>
      </w:r>
      <w:r w:rsidRPr="002770CA">
        <w:rPr>
          <w:rFonts w:ascii="Times New Roman" w:eastAsia="Times New Roman" w:hAnsi="Times New Roman" w:cs="Times New Roman"/>
          <w:color w:val="000000"/>
          <w:sz w:val="28"/>
          <w:szCs w:val="28"/>
          <w:shd w:val="clear" w:color="auto" w:fill="FFFFFF"/>
          <w:lang w:eastAsia="ru-RU"/>
        </w:rPr>
        <w:sym w:font="Symbol" w:char="F0E5"/>
      </w:r>
      <w:r w:rsidRPr="002770CA">
        <w:rPr>
          <w:rFonts w:ascii="Times New Roman" w:eastAsia="Times New Roman" w:hAnsi="Times New Roman" w:cs="Times New Roman"/>
          <w:color w:val="000000"/>
          <w:sz w:val="28"/>
          <w:szCs w:val="28"/>
          <w:shd w:val="clear" w:color="auto" w:fill="FFFFFF"/>
          <w:lang w:eastAsia="ru-RU"/>
        </w:rPr>
        <w:t>miCi)/(</w:t>
      </w:r>
      <w:r w:rsidRPr="002770CA">
        <w:rPr>
          <w:rFonts w:ascii="Times New Roman" w:eastAsia="Times New Roman" w:hAnsi="Times New Roman" w:cs="Times New Roman"/>
          <w:color w:val="000000"/>
          <w:sz w:val="28"/>
          <w:szCs w:val="28"/>
          <w:shd w:val="clear" w:color="auto" w:fill="FFFFFF"/>
          <w:lang w:eastAsia="ru-RU"/>
        </w:rPr>
        <w:sym w:font="Symbol" w:char="F0E5"/>
      </w:r>
      <w:r w:rsidRPr="002770CA">
        <w:rPr>
          <w:rFonts w:ascii="Times New Roman" w:eastAsia="Times New Roman" w:hAnsi="Times New Roman" w:cs="Times New Roman"/>
          <w:color w:val="000000"/>
          <w:sz w:val="28"/>
          <w:szCs w:val="28"/>
          <w:shd w:val="clear" w:color="auto" w:fill="FFFFFF"/>
          <w:lang w:eastAsia="ru-RU"/>
        </w:rPr>
        <w:t>), ко торое рассчитывается по формуле Сп’=(n’ n’</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i=1 i=1</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где m</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и C</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 масса и содержание WO</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в i–й порции технологической пробы;n’ – количество порций, для которых рассчитывается С</w:t>
      </w:r>
      <w:r w:rsidRPr="002770CA">
        <w:rPr>
          <w:rFonts w:ascii="Times New Roman" w:eastAsia="Times New Roman" w:hAnsi="Times New Roman" w:cs="Times New Roman"/>
          <w:color w:val="000000"/>
          <w:sz w:val="28"/>
          <w:szCs w:val="28"/>
          <w:vertAlign w:val="subscript"/>
          <w:lang w:eastAsia="ru-RU"/>
        </w:rPr>
        <w:t>n’</w:t>
      </w:r>
      <w:r w:rsidRPr="002770CA">
        <w:rPr>
          <w:rFonts w:ascii="Times New Roman" w:eastAsia="Times New Roman" w:hAnsi="Times New Roman" w:cs="Times New Roman"/>
          <w:color w:val="000000"/>
          <w:sz w:val="28"/>
          <w:szCs w:val="28"/>
          <w:shd w:val="clear" w:color="auto" w:fill="FFFFFF"/>
          <w:lang w:eastAsia="ru-RU"/>
        </w:rPr>
        <w:t>.**Относительная масса (М</w:t>
      </w:r>
      <w:r w:rsidRPr="002770CA">
        <w:rPr>
          <w:rFonts w:ascii="Times New Roman" w:eastAsia="Times New Roman" w:hAnsi="Times New Roman" w:cs="Times New Roman"/>
          <w:color w:val="000000"/>
          <w:sz w:val="28"/>
          <w:szCs w:val="28"/>
          <w:shd w:val="clear" w:color="auto" w:fill="FFFFFF"/>
          <w:lang w:eastAsia="ru-RU"/>
        </w:rPr>
        <w:sym w:font="Symbol" w:char="F02A"/>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shd w:val="clear" w:color="auto" w:fill="FFFFFF"/>
          <w:lang w:eastAsia="ru-RU"/>
        </w:rPr>
        <w:t>, %) WO</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в i-й порции технологической пробы, которая оп-nределяется равенством М</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shd w:val="clear" w:color="auto" w:fill="FFFFFF"/>
          <w:lang w:eastAsia="ru-RU"/>
        </w:rPr>
        <w:t>= [m</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shd w:val="clear" w:color="auto" w:fill="FFFFFF"/>
          <w:lang w:eastAsia="ru-RU"/>
        </w:rPr>
        <w:t>C</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shd w:val="clear" w:color="auto" w:fill="FFFFFF"/>
          <w:lang w:eastAsia="ru-RU"/>
        </w:rPr>
        <w:t>/ (åm</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shd w:val="clear" w:color="auto" w:fill="FFFFFF"/>
          <w:lang w:eastAsia="ru-RU"/>
        </w:rPr>
        <w:t>C</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shd w:val="clear" w:color="auto" w:fill="FFFFFF"/>
          <w:lang w:eastAsia="ru-RU"/>
        </w:rPr>
        <w:t>)]·100, %,i=1где n – суммарное количество порций в технологической пробе, в данном случае – 20.***Суммарная относительная масса WO</w:t>
      </w:r>
      <w:r w:rsidRPr="002770CA">
        <w:rPr>
          <w:rFonts w:ascii="Times New Roman" w:eastAsia="Times New Roman" w:hAnsi="Times New Roman" w:cs="Times New Roman"/>
          <w:color w:val="000000"/>
          <w:sz w:val="28"/>
          <w:szCs w:val="28"/>
          <w:vertAlign w:val="subscript"/>
          <w:lang w:eastAsia="ru-RU"/>
        </w:rPr>
        <w:t>3 </w:t>
      </w:r>
      <w:r w:rsidRPr="002770CA">
        <w:rPr>
          <w:rFonts w:ascii="Times New Roman" w:eastAsia="Times New Roman" w:hAnsi="Times New Roman" w:cs="Times New Roman"/>
          <w:color w:val="000000"/>
          <w:sz w:val="28"/>
          <w:szCs w:val="28"/>
          <w:shd w:val="clear" w:color="auto" w:fill="FFFFFF"/>
          <w:lang w:eastAsia="ru-RU"/>
        </w:rPr>
        <w:t>(М</w:t>
      </w:r>
      <w:r w:rsidRPr="002770CA">
        <w:rPr>
          <w:rFonts w:ascii="Times New Roman" w:eastAsia="Times New Roman" w:hAnsi="Times New Roman" w:cs="Times New Roman"/>
          <w:color w:val="000000"/>
          <w:sz w:val="28"/>
          <w:szCs w:val="28"/>
          <w:vertAlign w:val="subscript"/>
          <w:lang w:eastAsia="ru-RU"/>
        </w:rPr>
        <w:t>n’</w:t>
      </w:r>
      <w:r w:rsidRPr="002770CA">
        <w:rPr>
          <w:rFonts w:ascii="Times New Roman" w:eastAsia="Times New Roman" w:hAnsi="Times New Roman" w:cs="Times New Roman"/>
          <w:color w:val="000000"/>
          <w:sz w:val="28"/>
          <w:szCs w:val="28"/>
          <w:shd w:val="clear" w:color="auto" w:fill="FFFFFF"/>
          <w:lang w:eastAsia="ru-RU"/>
        </w:rPr>
        <w:t>) для всех вышестоящих порций, включая</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n’ n</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данную, равная М</w:t>
      </w:r>
      <w:r w:rsidRPr="002770CA">
        <w:rPr>
          <w:rFonts w:ascii="Times New Roman" w:eastAsia="Times New Roman" w:hAnsi="Times New Roman" w:cs="Times New Roman"/>
          <w:color w:val="000000"/>
          <w:sz w:val="28"/>
          <w:szCs w:val="28"/>
          <w:vertAlign w:val="subscript"/>
          <w:lang w:eastAsia="ru-RU"/>
        </w:rPr>
        <w:t>n’</w:t>
      </w:r>
      <w:r w:rsidRPr="002770CA">
        <w:rPr>
          <w:rFonts w:ascii="Times New Roman" w:eastAsia="Times New Roman" w:hAnsi="Times New Roman" w:cs="Times New Roman"/>
          <w:color w:val="000000"/>
          <w:sz w:val="28"/>
          <w:szCs w:val="28"/>
          <w:shd w:val="clear" w:color="auto" w:fill="FFFFFF"/>
          <w:lang w:eastAsia="ru-RU"/>
        </w:rPr>
        <w:t>= [(С</w:t>
      </w:r>
      <w:r w:rsidRPr="002770CA">
        <w:rPr>
          <w:rFonts w:ascii="Times New Roman" w:eastAsia="Times New Roman" w:hAnsi="Times New Roman" w:cs="Times New Roman"/>
          <w:color w:val="000000"/>
          <w:sz w:val="28"/>
          <w:szCs w:val="28"/>
          <w:vertAlign w:val="subscript"/>
          <w:lang w:eastAsia="ru-RU"/>
        </w:rPr>
        <w:t>n’</w:t>
      </w:r>
      <w:r w:rsidRPr="002770CA">
        <w:rPr>
          <w:rFonts w:ascii="Times New Roman" w:eastAsia="Times New Roman" w:hAnsi="Times New Roman" w:cs="Times New Roman"/>
          <w:color w:val="000000"/>
          <w:sz w:val="28"/>
          <w:szCs w:val="28"/>
          <w:shd w:val="clear" w:color="auto" w:fill="FFFFFF"/>
          <w:lang w:eastAsia="ru-RU"/>
        </w:rPr>
        <w:t>åm</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shd w:val="clear" w:color="auto" w:fill="FFFFFF"/>
          <w:lang w:eastAsia="ru-RU"/>
        </w:rPr>
        <w:t>)/(С</w:t>
      </w:r>
      <w:r w:rsidRPr="002770CA">
        <w:rPr>
          <w:rFonts w:ascii="Times New Roman" w:eastAsia="Times New Roman" w:hAnsi="Times New Roman" w:cs="Times New Roman"/>
          <w:color w:val="000000"/>
          <w:sz w:val="28"/>
          <w:szCs w:val="28"/>
          <w:vertAlign w:val="subscript"/>
          <w:lang w:eastAsia="ru-RU"/>
        </w:rPr>
        <w:t>n</w:t>
      </w:r>
      <w:r w:rsidRPr="002770CA">
        <w:rPr>
          <w:rFonts w:ascii="Times New Roman" w:eastAsia="Times New Roman" w:hAnsi="Times New Roman" w:cs="Times New Roman"/>
          <w:color w:val="000000"/>
          <w:sz w:val="28"/>
          <w:szCs w:val="28"/>
          <w:shd w:val="clear" w:color="auto" w:fill="FFFFFF"/>
          <w:lang w:eastAsia="ru-RU"/>
        </w:rPr>
        <w:t>åm</w:t>
      </w:r>
      <w:r w:rsidRPr="002770CA">
        <w:rPr>
          <w:rFonts w:ascii="Times New Roman" w:eastAsia="Times New Roman" w:hAnsi="Times New Roman" w:cs="Times New Roman"/>
          <w:color w:val="000000"/>
          <w:sz w:val="28"/>
          <w:szCs w:val="28"/>
          <w:vertAlign w:val="subscript"/>
          <w:lang w:eastAsia="ru-RU"/>
        </w:rPr>
        <w:t>i</w:t>
      </w:r>
      <w:r w:rsidRPr="002770CA">
        <w:rPr>
          <w:rFonts w:ascii="Times New Roman" w:eastAsia="Times New Roman" w:hAnsi="Times New Roman" w:cs="Times New Roman"/>
          <w:color w:val="000000"/>
          <w:sz w:val="28"/>
          <w:szCs w:val="28"/>
          <w:shd w:val="clear" w:color="auto" w:fill="FFFFFF"/>
          <w:lang w:eastAsia="ru-RU"/>
        </w:rPr>
        <w:t>)]·100, %.i=1 i=1</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Проба состояла из кусков крупностью 25-50 мм. Среднее содержание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=0,057%, т.е. в целом она относится к категории забалансовых руд, так как минимальное промышленное содержание в руде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=0,1%. После взвешивания и анализа каждого куска и ранжирования кусков по содержанию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вся проба была разделена на 20 отдельных порций примерно равных по массе. Затем эти порции были объединены в три группы. В группу I вошли 5 порций с самыми высокими значениями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 для каждой из которых содержание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оказалось выше, чем в хвостах флотации, т.е.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&gt;0,04%. В группу II попали 5 порций, у которых среднее накопленное содержание металла оказалось выше, чем минимальное промышленное на месторождении, т.е.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&gt;0,1%, но в самих порциях содержание металла ниже, чем в хвостах флотации, т.е.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&lt;0,04%. В группу III попали оставшиеся 10 порций, у которых оба показателя ниже установленных пределов.</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Данные таблицы 6 показывают, что распределение вольфрама в кусках и порциях некондиционной руды очень неравномерно. Действительно, некондиционная в целом горная масса технологической пробы, оказывается, наполовину (10 из 20 порций) представлена вполне кондиционной рудой, в которой сосредоточено 92,8% всего металла, а его средняя концентрация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 xml:space="preserve">=0,106% (групповые порции I и II вместе). Более того, кондиционная рудная часть пробы также наполовину сложена некондиционной рудой со </w:t>
      </w:r>
      <w:r w:rsidRPr="002770CA">
        <w:rPr>
          <w:rFonts w:ascii="Times New Roman" w:eastAsia="Times New Roman" w:hAnsi="Times New Roman" w:cs="Times New Roman"/>
          <w:color w:val="000000"/>
          <w:sz w:val="28"/>
          <w:szCs w:val="28"/>
          <w:shd w:val="clear" w:color="auto" w:fill="FFFFFF"/>
          <w:lang w:eastAsia="ru-RU"/>
        </w:rPr>
        <w:lastRenderedPageBreak/>
        <w:t>средним содержанием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=0,026% и запасом металла в 11,4% (групповая порция II). Следовательно, в данном случае отвал некондиционных руд на 50% представлен вполне кондиционными рудами, в которых сосредоточено 92,8% металла со средним содержанием C</w:t>
      </w:r>
      <w:r w:rsidRPr="002770CA">
        <w:rPr>
          <w:rFonts w:ascii="Times New Roman" w:eastAsia="Times New Roman" w:hAnsi="Times New Roman" w:cs="Times New Roman"/>
          <w:color w:val="000000"/>
          <w:sz w:val="28"/>
          <w:szCs w:val="28"/>
          <w:vertAlign w:val="subscript"/>
          <w:lang w:eastAsia="ru-RU"/>
        </w:rPr>
        <w:t>WO3</w:t>
      </w:r>
      <w:r w:rsidRPr="002770CA">
        <w:rPr>
          <w:rFonts w:ascii="Times New Roman" w:eastAsia="Times New Roman" w:hAnsi="Times New Roman" w:cs="Times New Roman"/>
          <w:color w:val="000000"/>
          <w:sz w:val="28"/>
          <w:szCs w:val="28"/>
          <w:shd w:val="clear" w:color="auto" w:fill="FFFFFF"/>
          <w:lang w:eastAsia="ru-RU"/>
        </w:rPr>
        <w:t>=0,106%. Такой отвал нельзя считать бросовым, он должен рассматриваться как ТМ, вполне пригодное для разработки, причём, с гораздо меньшими затратами, чем коренное, так как горная масса в нём уже добыта и складирована.</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Аналогичные результаты анализа состава отвалов некондиционных руд получаются и для многих других типов рудных месторождений. В настоящее время уже имеется опыт переработки отвалов некондиционных руд при использовании крупнопорционной сортировки горной массы и покусковой и мелкопорционной сепарации некондиционных руд с помощью ядернофизических методов. Например, извлечение Pb и Zn из некондиционных полиметаллических руд АлмалыкскогоГОК’а (Узбекистан) составляет около 50% от массы полученного комбинатом металла.</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ТМ цветных и редких металлов помимо доизвлечения основных полезных компонент и получения стройматериалов (щебень, песок, гравий, закладочный материал и т.д.) могут являться ценным источником попутных элементов, которые в начальный период добычи руд по тем или иным причинам не извлекались. Так, например, отвалы и хвосты медно-никелевых руд Норильска содержат промышленные с точки зрения современных технологий их переработки концентрации платиноидов, золота и серебра, которые ранее извлекались лишь частично. Практически все полиметаллические и медно-цинковые месторождения содержат Ag, Cd редкие и рассеянные элементы, потребность в которых резко возросла в последнее время, и промышленные кондиции на них в связи с этим существенно понизились.</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ТМ цветных и редких металлов имеют огромные запасы полезных компонент. В качестве примера рассмотрим суммарные характеристики ТМ медной подотрасли Урала, в которой сосредоточена основная их доля России и для которой известны наиболее полные данные (таблица 7).</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Таблица 7-Характеристика ТМ меднойподотрасли Урала.</w:t>
      </w:r>
    </w:p>
    <w:tbl>
      <w:tblPr>
        <w:tblW w:w="9210"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2689"/>
        <w:gridCol w:w="1198"/>
        <w:gridCol w:w="1732"/>
        <w:gridCol w:w="1627"/>
        <w:gridCol w:w="1964"/>
      </w:tblGrid>
      <w:tr w:rsidR="002770CA" w:rsidRPr="002770CA" w:rsidTr="00E570F2">
        <w:trPr>
          <w:tblCellSpacing w:w="0" w:type="dxa"/>
        </w:trPr>
        <w:tc>
          <w:tcPr>
            <w:tcW w:w="26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Тип техногенного сырья</w:t>
            </w:r>
          </w:p>
        </w:tc>
        <w:tc>
          <w:tcPr>
            <w:tcW w:w="93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Запасы, млн.т</w:t>
            </w:r>
          </w:p>
        </w:tc>
        <w:tc>
          <w:tcPr>
            <w:tcW w:w="5025" w:type="dxa"/>
            <w:gridSpan w:val="3"/>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Содержание и запасы полезных компонент, %/тыс.т</w:t>
            </w:r>
          </w:p>
        </w:tc>
      </w:tr>
      <w:tr w:rsidR="002770CA" w:rsidRPr="002770CA" w:rsidTr="00E570F2">
        <w:trPr>
          <w:tblCellSpacing w:w="0" w:type="dxa"/>
        </w:trPr>
        <w:tc>
          <w:tcPr>
            <w:tcW w:w="26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93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r>
          </w:p>
        </w:tc>
        <w:tc>
          <w:tcPr>
            <w:tcW w:w="168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Cu</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Zn</w:t>
            </w:r>
          </w:p>
        </w:tc>
        <w:tc>
          <w:tcPr>
            <w:tcW w:w="147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S</w:t>
            </w:r>
          </w:p>
        </w:tc>
      </w:tr>
      <w:tr w:rsidR="002770CA" w:rsidRPr="002770CA" w:rsidTr="00E570F2">
        <w:trPr>
          <w:tblCellSpacing w:w="0" w:type="dxa"/>
        </w:trPr>
        <w:tc>
          <w:tcPr>
            <w:tcW w:w="26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Некондиционные руды и породы вскрыши</w:t>
            </w:r>
          </w:p>
        </w:tc>
        <w:tc>
          <w:tcPr>
            <w:tcW w:w="93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10617</w:t>
            </w:r>
          </w:p>
        </w:tc>
        <w:tc>
          <w:tcPr>
            <w:tcW w:w="168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0,34/36098</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0,22/23357</w:t>
            </w:r>
          </w:p>
        </w:tc>
        <w:tc>
          <w:tcPr>
            <w:tcW w:w="147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8,69/922617</w:t>
            </w:r>
          </w:p>
        </w:tc>
      </w:tr>
      <w:tr w:rsidR="002770CA" w:rsidRPr="002770CA" w:rsidTr="00E570F2">
        <w:trPr>
          <w:tblCellSpacing w:w="0" w:type="dxa"/>
        </w:trPr>
        <w:tc>
          <w:tcPr>
            <w:tcW w:w="26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lastRenderedPageBreak/>
              <w:br/>
              <w:t>Хвосты обогащения</w:t>
            </w:r>
          </w:p>
        </w:tc>
        <w:tc>
          <w:tcPr>
            <w:tcW w:w="93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208,8</w:t>
            </w:r>
          </w:p>
        </w:tc>
        <w:tc>
          <w:tcPr>
            <w:tcW w:w="168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0,37/770,1</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0,39/820,5</w:t>
            </w:r>
          </w:p>
        </w:tc>
        <w:tc>
          <w:tcPr>
            <w:tcW w:w="147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21,9/45811</w:t>
            </w:r>
          </w:p>
        </w:tc>
      </w:tr>
      <w:tr w:rsidR="002770CA" w:rsidRPr="002770CA" w:rsidTr="00E570F2">
        <w:trPr>
          <w:tblCellSpacing w:w="0" w:type="dxa"/>
        </w:trPr>
        <w:tc>
          <w:tcPr>
            <w:tcW w:w="26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Шлаки медеплавильных заводов</w:t>
            </w:r>
          </w:p>
        </w:tc>
        <w:tc>
          <w:tcPr>
            <w:tcW w:w="93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110,9</w:t>
            </w:r>
          </w:p>
        </w:tc>
        <w:tc>
          <w:tcPr>
            <w:tcW w:w="168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0,37/410,2</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2,29/2538,6</w:t>
            </w:r>
          </w:p>
        </w:tc>
        <w:tc>
          <w:tcPr>
            <w:tcW w:w="147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0,98/1086,4</w:t>
            </w:r>
          </w:p>
        </w:tc>
      </w:tr>
      <w:tr w:rsidR="002770CA" w:rsidRPr="002770CA" w:rsidTr="00E570F2">
        <w:trPr>
          <w:tblCellSpacing w:w="0" w:type="dxa"/>
        </w:trPr>
        <w:tc>
          <w:tcPr>
            <w:tcW w:w="261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Итого</w:t>
            </w:r>
          </w:p>
        </w:tc>
        <w:tc>
          <w:tcPr>
            <w:tcW w:w="93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10937</w:t>
            </w:r>
          </w:p>
        </w:tc>
        <w:tc>
          <w:tcPr>
            <w:tcW w:w="168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37278</w:t>
            </w:r>
          </w:p>
        </w:tc>
        <w:tc>
          <w:tcPr>
            <w:tcW w:w="144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26716</w:t>
            </w:r>
          </w:p>
        </w:tc>
        <w:tc>
          <w:tcPr>
            <w:tcW w:w="1470" w:type="dxa"/>
            <w:tcBorders>
              <w:top w:val="outset" w:sz="6" w:space="0" w:color="000000"/>
              <w:left w:val="outset" w:sz="6" w:space="0" w:color="000000"/>
              <w:bottom w:val="outset" w:sz="6" w:space="0" w:color="000000"/>
              <w:right w:val="outset" w:sz="6" w:space="0" w:color="000000"/>
            </w:tcBorders>
            <w:vAlign w:val="center"/>
            <w:hideMark/>
          </w:tcPr>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br/>
              <w:t>969514</w:t>
            </w:r>
          </w:p>
        </w:tc>
      </w:tr>
    </w:tbl>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Из таблицы 7 следует, что основная доля (87,4–96,8%) запасов полезных компонент сосредоточена в ТМ, возникающих при добыче руды коренных месторождений. В целом для медной подотрасли Урала этот показатель даже превосходит соответствующие потери при добыче вольфрамовых руд [85%=65,4/(65,4+11,4) – см. рис. 2] несмотря на то, что медные и медно-цинковые кондиционные руды имеют более высокие содержания Cu (0,35-0,5%) и Zn (1,5%) и как следствие этого должны быть более однородны.</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Из этой же таблицы также видно, что даже средние содержания Cu (0,34-0,37%) близки к кондиционным (0,35%-0,5%), поэтому учитывая неравномерность распределения меди в техногенных рудах (от 0,08 до 1,88%), очевидно, что они вполне конкурентоспособны с коренными рудами.</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 медных рудах Урала помимо меди содержится ёще 15 других ценных компонент (Zn, Pb, S, Au, Ag, Bi, Cd, Ge, Re, Sn, Te, Ni, In, Sb). Кроме того, в шлаках содержится до 30% и более железа (C</w:t>
      </w:r>
      <w:r w:rsidRPr="002770CA">
        <w:rPr>
          <w:rFonts w:ascii="Times New Roman" w:eastAsia="Times New Roman" w:hAnsi="Times New Roman" w:cs="Times New Roman"/>
          <w:color w:val="000000"/>
          <w:sz w:val="28"/>
          <w:szCs w:val="28"/>
          <w:vertAlign w:val="subscript"/>
          <w:lang w:eastAsia="ru-RU"/>
        </w:rPr>
        <w:t>Fe,кондиц.</w:t>
      </w:r>
      <w:r w:rsidRPr="002770CA">
        <w:rPr>
          <w:rFonts w:ascii="Times New Roman" w:eastAsia="Times New Roman" w:hAnsi="Times New Roman" w:cs="Times New Roman"/>
          <w:color w:val="000000"/>
          <w:sz w:val="28"/>
          <w:szCs w:val="28"/>
          <w:shd w:val="clear" w:color="auto" w:fill="FFFFFF"/>
          <w:lang w:eastAsia="ru-RU"/>
        </w:rPr>
        <w:t>³16%), которое из них не извлекается.Наибольшую ценность в хвостах обогащения Уральских руд представляет сера. Её стоимость составляет 30-50% от общей стоимости хвостов. Второе место принадлежит сумме драгоценных металлов (25-45%). Далее идут Cu – 10-20% и Zn – 10-15%.</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 xml:space="preserve">Каждое ТМ обладает своими особенностями, обусловленными составом исходного сырья для них, технологией добычи, обогащения или переработки и целым рядом других факторов. Поэтому необходима объективная оценка и детальная разведка каждого перспективного для вторичной переработки ТМ. Оценочные работы проведены пока на немногих месторождениях. </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Рассмотрим для примера результаты таких работ на двух месторождениях: ТМ Бурибаевской обогатительной фабрики и ТМ медиплавильного комбината АООТ «СУМЗ» (Среднеуральский металлургический (медиплавильный) завод).</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 xml:space="preserve">ТМ Бурибаевской обогатительной фабрики начало формироваться с 1937 г. Площадь хвостохранилища составляет около 18 га. Высота колеблется от 0,5 до 18 м. Хвосты представляют собой обезвоженную пульпу с размером частиц от 0,02 до 0,07 мм.По результатам опробования шлама </w:t>
      </w:r>
      <w:r w:rsidRPr="002770CA">
        <w:rPr>
          <w:rFonts w:ascii="Times New Roman" w:eastAsia="Times New Roman" w:hAnsi="Times New Roman" w:cs="Times New Roman"/>
          <w:color w:val="000000"/>
          <w:sz w:val="28"/>
          <w:szCs w:val="28"/>
          <w:shd w:val="clear" w:color="auto" w:fill="FFFFFF"/>
          <w:lang w:eastAsia="ru-RU"/>
        </w:rPr>
        <w:lastRenderedPageBreak/>
        <w:t>содержание С</w:t>
      </w:r>
      <w:r w:rsidRPr="002770CA">
        <w:rPr>
          <w:rFonts w:ascii="Times New Roman" w:eastAsia="Times New Roman" w:hAnsi="Times New Roman" w:cs="Times New Roman"/>
          <w:color w:val="000000"/>
          <w:sz w:val="28"/>
          <w:szCs w:val="28"/>
          <w:vertAlign w:val="subscript"/>
          <w:lang w:eastAsia="ru-RU"/>
        </w:rPr>
        <w:t>S</w:t>
      </w:r>
      <w:r w:rsidRPr="002770CA">
        <w:rPr>
          <w:rFonts w:ascii="Times New Roman" w:eastAsia="Times New Roman" w:hAnsi="Times New Roman" w:cs="Times New Roman"/>
          <w:color w:val="000000"/>
          <w:sz w:val="28"/>
          <w:szCs w:val="28"/>
          <w:shd w:val="clear" w:color="auto" w:fill="FFFFFF"/>
          <w:lang w:eastAsia="ru-RU"/>
        </w:rPr>
        <w:t>=10-42%, С</w:t>
      </w:r>
      <w:r w:rsidRPr="002770CA">
        <w:rPr>
          <w:rFonts w:ascii="Times New Roman" w:eastAsia="Times New Roman" w:hAnsi="Times New Roman" w:cs="Times New Roman"/>
          <w:color w:val="000000"/>
          <w:sz w:val="28"/>
          <w:szCs w:val="28"/>
          <w:vertAlign w:val="subscript"/>
          <w:lang w:eastAsia="ru-RU"/>
        </w:rPr>
        <w:t>Cu</w:t>
      </w:r>
      <w:r w:rsidRPr="002770CA">
        <w:rPr>
          <w:rFonts w:ascii="Times New Roman" w:eastAsia="Times New Roman" w:hAnsi="Times New Roman" w:cs="Times New Roman"/>
          <w:color w:val="000000"/>
          <w:sz w:val="28"/>
          <w:szCs w:val="28"/>
          <w:shd w:val="clear" w:color="auto" w:fill="FFFFFF"/>
          <w:lang w:eastAsia="ru-RU"/>
        </w:rPr>
        <w:t>=0,12-1,64%, С</w:t>
      </w:r>
      <w:r w:rsidRPr="002770CA">
        <w:rPr>
          <w:rFonts w:ascii="Times New Roman" w:eastAsia="Times New Roman" w:hAnsi="Times New Roman" w:cs="Times New Roman"/>
          <w:color w:val="000000"/>
          <w:sz w:val="28"/>
          <w:szCs w:val="28"/>
          <w:vertAlign w:val="subscript"/>
          <w:lang w:eastAsia="ru-RU"/>
        </w:rPr>
        <w:t>Zn</w:t>
      </w:r>
      <w:r w:rsidRPr="002770CA">
        <w:rPr>
          <w:rFonts w:ascii="Times New Roman" w:eastAsia="Times New Roman" w:hAnsi="Times New Roman" w:cs="Times New Roman"/>
          <w:color w:val="000000"/>
          <w:sz w:val="28"/>
          <w:szCs w:val="28"/>
          <w:shd w:val="clear" w:color="auto" w:fill="FFFFFF"/>
          <w:lang w:eastAsia="ru-RU"/>
        </w:rPr>
        <w:t>£1%. Эти шламы могут быть использованы как сырьё для получения медного и пиритового концентратов.Хвостохранилище разведано колонковыми скважинами по сети 50´50 м. Анализ размещения меди и серы в шламе хвостохранилища показал, что наибольшее их содержание отмечается в местах слива шлама из трубопровода. По мере удаления от него содержание меди и серы уменьшается. По содержанию этих элементов выделяют три участка:</w:t>
      </w:r>
      <w:r w:rsidRPr="002770CA">
        <w:rPr>
          <w:rFonts w:ascii="Times New Roman" w:eastAsia="Times New Roman" w:hAnsi="Times New Roman" w:cs="Times New Roman"/>
          <w:color w:val="000000"/>
          <w:sz w:val="28"/>
          <w:szCs w:val="28"/>
          <w:lang w:eastAsia="ru-RU"/>
        </w:rPr>
        <w:br/>
      </w:r>
      <w:r w:rsidRPr="002770CA">
        <w:rPr>
          <w:rFonts w:ascii="Times New Roman" w:eastAsia="Times New Roman" w:hAnsi="Times New Roman" w:cs="Times New Roman"/>
          <w:color w:val="000000"/>
          <w:sz w:val="28"/>
          <w:szCs w:val="28"/>
          <w:shd w:val="clear" w:color="auto" w:fill="FFFFFF"/>
          <w:lang w:eastAsia="ru-RU"/>
        </w:rPr>
        <w:t>I участок – С</w:t>
      </w:r>
      <w:r w:rsidRPr="002770CA">
        <w:rPr>
          <w:rFonts w:ascii="Times New Roman" w:eastAsia="Times New Roman" w:hAnsi="Times New Roman" w:cs="Times New Roman"/>
          <w:color w:val="000000"/>
          <w:sz w:val="28"/>
          <w:szCs w:val="28"/>
          <w:vertAlign w:val="subscript"/>
          <w:lang w:eastAsia="ru-RU"/>
        </w:rPr>
        <w:t>Cu</w:t>
      </w:r>
      <w:r w:rsidRPr="002770CA">
        <w:rPr>
          <w:rFonts w:ascii="Times New Roman" w:eastAsia="Times New Roman" w:hAnsi="Times New Roman" w:cs="Times New Roman"/>
          <w:color w:val="000000"/>
          <w:sz w:val="28"/>
          <w:szCs w:val="28"/>
          <w:shd w:val="clear" w:color="auto" w:fill="FFFFFF"/>
          <w:lang w:eastAsia="ru-RU"/>
        </w:rPr>
        <w:t>&gt;0,5%, С</w:t>
      </w:r>
      <w:r w:rsidRPr="002770CA">
        <w:rPr>
          <w:rFonts w:ascii="Times New Roman" w:eastAsia="Times New Roman" w:hAnsi="Times New Roman" w:cs="Times New Roman"/>
          <w:color w:val="000000"/>
          <w:sz w:val="28"/>
          <w:szCs w:val="28"/>
          <w:vertAlign w:val="subscript"/>
          <w:lang w:eastAsia="ru-RU"/>
        </w:rPr>
        <w:t>S</w:t>
      </w:r>
      <w:r w:rsidRPr="002770CA">
        <w:rPr>
          <w:rFonts w:ascii="Times New Roman" w:eastAsia="Times New Roman" w:hAnsi="Times New Roman" w:cs="Times New Roman"/>
          <w:color w:val="000000"/>
          <w:sz w:val="28"/>
          <w:szCs w:val="28"/>
          <w:shd w:val="clear" w:color="auto" w:fill="FFFFFF"/>
          <w:lang w:eastAsia="ru-RU"/>
        </w:rPr>
        <w:t>&gt;34%.II участок - С</w:t>
      </w:r>
      <w:r w:rsidRPr="002770CA">
        <w:rPr>
          <w:rFonts w:ascii="Times New Roman" w:eastAsia="Times New Roman" w:hAnsi="Times New Roman" w:cs="Times New Roman"/>
          <w:color w:val="000000"/>
          <w:sz w:val="28"/>
          <w:szCs w:val="28"/>
          <w:vertAlign w:val="subscript"/>
          <w:lang w:eastAsia="ru-RU"/>
        </w:rPr>
        <w:t>Cu</w:t>
      </w:r>
      <w:r w:rsidRPr="002770CA">
        <w:rPr>
          <w:rFonts w:ascii="Times New Roman" w:eastAsia="Times New Roman" w:hAnsi="Times New Roman" w:cs="Times New Roman"/>
          <w:color w:val="000000"/>
          <w:sz w:val="28"/>
          <w:szCs w:val="28"/>
          <w:shd w:val="clear" w:color="auto" w:fill="FFFFFF"/>
          <w:lang w:eastAsia="ru-RU"/>
        </w:rPr>
        <w:t>&gt;0,5%, С</w:t>
      </w:r>
      <w:r w:rsidRPr="002770CA">
        <w:rPr>
          <w:rFonts w:ascii="Times New Roman" w:eastAsia="Times New Roman" w:hAnsi="Times New Roman" w:cs="Times New Roman"/>
          <w:color w:val="000000"/>
          <w:sz w:val="28"/>
          <w:szCs w:val="28"/>
          <w:vertAlign w:val="subscript"/>
          <w:lang w:eastAsia="ru-RU"/>
        </w:rPr>
        <w:t>S</w:t>
      </w:r>
      <w:r w:rsidRPr="002770CA">
        <w:rPr>
          <w:rFonts w:ascii="Times New Roman" w:eastAsia="Times New Roman" w:hAnsi="Times New Roman" w:cs="Times New Roman"/>
          <w:color w:val="000000"/>
          <w:sz w:val="28"/>
          <w:szCs w:val="28"/>
          <w:shd w:val="clear" w:color="auto" w:fill="FFFFFF"/>
          <w:lang w:eastAsia="ru-RU"/>
        </w:rPr>
        <w:t>&lt;34%.III участок - С</w:t>
      </w:r>
      <w:r w:rsidRPr="002770CA">
        <w:rPr>
          <w:rFonts w:ascii="Times New Roman" w:eastAsia="Times New Roman" w:hAnsi="Times New Roman" w:cs="Times New Roman"/>
          <w:color w:val="000000"/>
          <w:sz w:val="28"/>
          <w:szCs w:val="28"/>
          <w:vertAlign w:val="subscript"/>
          <w:lang w:eastAsia="ru-RU"/>
        </w:rPr>
        <w:t>Cu</w:t>
      </w:r>
      <w:r w:rsidRPr="002770CA">
        <w:rPr>
          <w:rFonts w:ascii="Times New Roman" w:eastAsia="Times New Roman" w:hAnsi="Times New Roman" w:cs="Times New Roman"/>
          <w:color w:val="000000"/>
          <w:sz w:val="28"/>
          <w:szCs w:val="28"/>
          <w:shd w:val="clear" w:color="auto" w:fill="FFFFFF"/>
          <w:lang w:eastAsia="ru-RU"/>
        </w:rPr>
        <w:t>&lt;0,5%, С</w:t>
      </w:r>
      <w:r w:rsidRPr="002770CA">
        <w:rPr>
          <w:rFonts w:ascii="Times New Roman" w:eastAsia="Times New Roman" w:hAnsi="Times New Roman" w:cs="Times New Roman"/>
          <w:color w:val="000000"/>
          <w:sz w:val="28"/>
          <w:szCs w:val="28"/>
          <w:vertAlign w:val="subscript"/>
          <w:lang w:eastAsia="ru-RU"/>
        </w:rPr>
        <w:t>S</w:t>
      </w:r>
      <w:r w:rsidRPr="002770CA">
        <w:rPr>
          <w:rFonts w:ascii="Times New Roman" w:eastAsia="Times New Roman" w:hAnsi="Times New Roman" w:cs="Times New Roman"/>
          <w:color w:val="000000"/>
          <w:sz w:val="28"/>
          <w:szCs w:val="28"/>
          <w:shd w:val="clear" w:color="auto" w:fill="FFFFFF"/>
          <w:lang w:eastAsia="ru-RU"/>
        </w:rPr>
        <w:t>&lt;34%Запасы хвостохранилища составляют 3,96 млн.т при среднем содержании С</w:t>
      </w:r>
      <w:r w:rsidRPr="002770CA">
        <w:rPr>
          <w:rFonts w:ascii="Times New Roman" w:eastAsia="Times New Roman" w:hAnsi="Times New Roman" w:cs="Times New Roman"/>
          <w:color w:val="000000"/>
          <w:sz w:val="28"/>
          <w:szCs w:val="28"/>
          <w:vertAlign w:val="subscript"/>
          <w:lang w:eastAsia="ru-RU"/>
        </w:rPr>
        <w:t>Cu</w:t>
      </w:r>
      <w:r w:rsidRPr="002770CA">
        <w:rPr>
          <w:rFonts w:ascii="Times New Roman" w:eastAsia="Times New Roman" w:hAnsi="Times New Roman" w:cs="Times New Roman"/>
          <w:color w:val="000000"/>
          <w:sz w:val="28"/>
          <w:szCs w:val="28"/>
          <w:shd w:val="clear" w:color="auto" w:fill="FFFFFF"/>
          <w:lang w:eastAsia="ru-RU"/>
        </w:rPr>
        <w:t>=0,54%, С</w:t>
      </w:r>
      <w:r w:rsidRPr="002770CA">
        <w:rPr>
          <w:rFonts w:ascii="Times New Roman" w:eastAsia="Times New Roman" w:hAnsi="Times New Roman" w:cs="Times New Roman"/>
          <w:color w:val="000000"/>
          <w:sz w:val="28"/>
          <w:szCs w:val="28"/>
          <w:vertAlign w:val="subscript"/>
          <w:lang w:eastAsia="ru-RU"/>
        </w:rPr>
        <w:t>Zn</w:t>
      </w:r>
      <w:r w:rsidRPr="002770CA">
        <w:rPr>
          <w:rFonts w:ascii="Times New Roman" w:eastAsia="Times New Roman" w:hAnsi="Times New Roman" w:cs="Times New Roman"/>
          <w:color w:val="000000"/>
          <w:sz w:val="28"/>
          <w:szCs w:val="28"/>
          <w:shd w:val="clear" w:color="auto" w:fill="FFFFFF"/>
          <w:lang w:eastAsia="ru-RU"/>
        </w:rPr>
        <w:t>=0,17%, С</w:t>
      </w:r>
      <w:r w:rsidRPr="002770CA">
        <w:rPr>
          <w:rFonts w:ascii="Times New Roman" w:eastAsia="Times New Roman" w:hAnsi="Times New Roman" w:cs="Times New Roman"/>
          <w:color w:val="000000"/>
          <w:sz w:val="28"/>
          <w:szCs w:val="28"/>
          <w:vertAlign w:val="subscript"/>
          <w:lang w:eastAsia="ru-RU"/>
        </w:rPr>
        <w:t>S</w:t>
      </w:r>
      <w:r w:rsidRPr="002770CA">
        <w:rPr>
          <w:rFonts w:ascii="Times New Roman" w:eastAsia="Times New Roman" w:hAnsi="Times New Roman" w:cs="Times New Roman"/>
          <w:color w:val="000000"/>
          <w:sz w:val="28"/>
          <w:szCs w:val="28"/>
          <w:shd w:val="clear" w:color="auto" w:fill="FFFFFF"/>
          <w:lang w:eastAsia="ru-RU"/>
        </w:rPr>
        <w:t>=28,18%. Кроме Cu, Zn и S хвосты содержат:Au – 1,2 г/т (0,00012), Se – 41 г/т (0,0041%), Ge – 1,6 г/т (0,00016%,Ag – 10,3 г/т (0.00103%), Te – 28 г/т (0,0028%). Пользуясь этими данными нетрудно подсчитать запасы перечисленных выше металлов в хвостохранилищеБурибаевской обогатительной фабрики (сделать самостоятельно)Cu – 21384 т, Au – 4,752 т, Te – 110,88 т,Zn – 6732 т, Ag – 40,788 т, Ge – 6,33 т,S – 1,116 млн.т, Se – 162,35 т.ТМ медеплавильного комбината АООТ “СУМЗ” представляет собой шлакоотвал, содержащий несколько десятков млн.т шлаков.Минеральный состав шлаков:Магнетит (FeFe</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O</w:t>
      </w:r>
      <w:r w:rsidRPr="002770CA">
        <w:rPr>
          <w:rFonts w:ascii="Times New Roman" w:eastAsia="Times New Roman" w:hAnsi="Times New Roman" w:cs="Times New Roman"/>
          <w:color w:val="000000"/>
          <w:sz w:val="28"/>
          <w:szCs w:val="28"/>
          <w:vertAlign w:val="subscript"/>
          <w:lang w:eastAsia="ru-RU"/>
        </w:rPr>
        <w:t>4</w:t>
      </w:r>
      <w:r w:rsidRPr="002770CA">
        <w:rPr>
          <w:rFonts w:ascii="Times New Roman" w:eastAsia="Times New Roman" w:hAnsi="Times New Roman" w:cs="Times New Roman"/>
          <w:color w:val="000000"/>
          <w:sz w:val="28"/>
          <w:szCs w:val="28"/>
          <w:shd w:val="clear" w:color="auto" w:fill="FFFFFF"/>
          <w:lang w:eastAsia="ru-RU"/>
        </w:rPr>
        <w:t>), пирротин (Fe</w:t>
      </w:r>
      <w:r w:rsidRPr="002770CA">
        <w:rPr>
          <w:rFonts w:ascii="Times New Roman" w:eastAsia="Times New Roman" w:hAnsi="Times New Roman" w:cs="Times New Roman"/>
          <w:color w:val="000000"/>
          <w:sz w:val="28"/>
          <w:szCs w:val="28"/>
          <w:vertAlign w:val="subscript"/>
          <w:lang w:eastAsia="ru-RU"/>
        </w:rPr>
        <w:t>1-x</w:t>
      </w:r>
      <w:r w:rsidRPr="002770CA">
        <w:rPr>
          <w:rFonts w:ascii="Times New Roman" w:eastAsia="Times New Roman" w:hAnsi="Times New Roman" w:cs="Times New Roman"/>
          <w:color w:val="000000"/>
          <w:sz w:val="28"/>
          <w:szCs w:val="28"/>
          <w:shd w:val="clear" w:color="auto" w:fill="FFFFFF"/>
          <w:lang w:eastAsia="ru-RU"/>
        </w:rPr>
        <w:t>S), фаялит {Fe</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[SiO</w:t>
      </w:r>
      <w:r w:rsidRPr="002770CA">
        <w:rPr>
          <w:rFonts w:ascii="Times New Roman" w:eastAsia="Times New Roman" w:hAnsi="Times New Roman" w:cs="Times New Roman"/>
          <w:color w:val="000000"/>
          <w:sz w:val="28"/>
          <w:szCs w:val="28"/>
          <w:vertAlign w:val="subscript"/>
          <w:lang w:eastAsia="ru-RU"/>
        </w:rPr>
        <w:t>4</w:t>
      </w:r>
      <w:r w:rsidRPr="002770CA">
        <w:rPr>
          <w:rFonts w:ascii="Times New Roman" w:eastAsia="Times New Roman" w:hAnsi="Times New Roman" w:cs="Times New Roman"/>
          <w:color w:val="000000"/>
          <w:sz w:val="28"/>
          <w:szCs w:val="28"/>
          <w:shd w:val="clear" w:color="auto" w:fill="FFFFFF"/>
          <w:lang w:eastAsia="ru-RU"/>
        </w:rPr>
        <w:t>]}, шпинель (MgAl</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O</w:t>
      </w:r>
      <w:r w:rsidRPr="002770CA">
        <w:rPr>
          <w:rFonts w:ascii="Times New Roman" w:eastAsia="Times New Roman" w:hAnsi="Times New Roman" w:cs="Times New Roman"/>
          <w:color w:val="000000"/>
          <w:sz w:val="28"/>
          <w:szCs w:val="28"/>
          <w:vertAlign w:val="subscript"/>
          <w:lang w:eastAsia="ru-RU"/>
        </w:rPr>
        <w:t>4</w:t>
      </w:r>
      <w:r w:rsidRPr="002770CA">
        <w:rPr>
          <w:rFonts w:ascii="Times New Roman" w:eastAsia="Times New Roman" w:hAnsi="Times New Roman" w:cs="Times New Roman"/>
          <w:color w:val="000000"/>
          <w:sz w:val="28"/>
          <w:szCs w:val="28"/>
          <w:shd w:val="clear" w:color="auto" w:fill="FFFFFF"/>
          <w:lang w:eastAsia="ru-RU"/>
        </w:rPr>
        <w:t>), виллемит {Zn</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[SiO</w:t>
      </w:r>
      <w:r w:rsidRPr="002770CA">
        <w:rPr>
          <w:rFonts w:ascii="Times New Roman" w:eastAsia="Times New Roman" w:hAnsi="Times New Roman" w:cs="Times New Roman"/>
          <w:color w:val="000000"/>
          <w:sz w:val="28"/>
          <w:szCs w:val="28"/>
          <w:vertAlign w:val="subscript"/>
          <w:lang w:eastAsia="ru-RU"/>
        </w:rPr>
        <w:t>4</w:t>
      </w:r>
      <w:r w:rsidRPr="002770CA">
        <w:rPr>
          <w:rFonts w:ascii="Times New Roman" w:eastAsia="Times New Roman" w:hAnsi="Times New Roman" w:cs="Times New Roman"/>
          <w:color w:val="000000"/>
          <w:sz w:val="28"/>
          <w:szCs w:val="28"/>
          <w:shd w:val="clear" w:color="auto" w:fill="FFFFFF"/>
          <w:lang w:eastAsia="ru-RU"/>
        </w:rPr>
        <w:t>]}, куприт (Cu</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O), волластонит {Ca</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shd w:val="clear" w:color="auto" w:fill="FFFFFF"/>
          <w:lang w:eastAsia="ru-RU"/>
        </w:rPr>
        <w:t>[Si</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shd w:val="clear" w:color="auto" w:fill="FFFFFF"/>
          <w:lang w:eastAsia="ru-RU"/>
        </w:rPr>
        <w:t>O</w:t>
      </w:r>
      <w:r w:rsidRPr="002770CA">
        <w:rPr>
          <w:rFonts w:ascii="Times New Roman" w:eastAsia="Times New Roman" w:hAnsi="Times New Roman" w:cs="Times New Roman"/>
          <w:color w:val="000000"/>
          <w:sz w:val="28"/>
          <w:szCs w:val="28"/>
          <w:vertAlign w:val="subscript"/>
          <w:lang w:eastAsia="ru-RU"/>
        </w:rPr>
        <w:t>9</w:t>
      </w:r>
      <w:r w:rsidRPr="002770CA">
        <w:rPr>
          <w:rFonts w:ascii="Times New Roman" w:eastAsia="Times New Roman" w:hAnsi="Times New Roman" w:cs="Times New Roman"/>
          <w:color w:val="000000"/>
          <w:sz w:val="28"/>
          <w:szCs w:val="28"/>
          <w:shd w:val="clear" w:color="auto" w:fill="FFFFFF"/>
          <w:lang w:eastAsia="ru-RU"/>
        </w:rPr>
        <w:t>]}, кварц (SiO</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 и некоторые другие рудные и нерудные минералы.В химическом составе преобладаютFe – (34-42)%, SiO</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 (32-38)%, Al</w:t>
      </w:r>
      <w:r w:rsidRPr="002770CA">
        <w:rPr>
          <w:rFonts w:ascii="Times New Roman" w:eastAsia="Times New Roman" w:hAnsi="Times New Roman" w:cs="Times New Roman"/>
          <w:color w:val="000000"/>
          <w:sz w:val="28"/>
          <w:szCs w:val="28"/>
          <w:vertAlign w:val="subscript"/>
          <w:lang w:eastAsia="ru-RU"/>
        </w:rPr>
        <w:t>2</w:t>
      </w:r>
      <w:r w:rsidRPr="002770CA">
        <w:rPr>
          <w:rFonts w:ascii="Times New Roman" w:eastAsia="Times New Roman" w:hAnsi="Times New Roman" w:cs="Times New Roman"/>
          <w:color w:val="000000"/>
          <w:sz w:val="28"/>
          <w:szCs w:val="28"/>
          <w:shd w:val="clear" w:color="auto" w:fill="FFFFFF"/>
          <w:lang w:eastAsia="ru-RU"/>
        </w:rPr>
        <w:t>O</w:t>
      </w:r>
      <w:r w:rsidRPr="002770CA">
        <w:rPr>
          <w:rFonts w:ascii="Times New Roman" w:eastAsia="Times New Roman" w:hAnsi="Times New Roman" w:cs="Times New Roman"/>
          <w:color w:val="000000"/>
          <w:sz w:val="28"/>
          <w:szCs w:val="28"/>
          <w:vertAlign w:val="subscript"/>
          <w:lang w:eastAsia="ru-RU"/>
        </w:rPr>
        <w:t>3</w:t>
      </w:r>
      <w:r w:rsidRPr="002770CA">
        <w:rPr>
          <w:rFonts w:ascii="Times New Roman" w:eastAsia="Times New Roman" w:hAnsi="Times New Roman" w:cs="Times New Roman"/>
          <w:color w:val="000000"/>
          <w:sz w:val="28"/>
          <w:szCs w:val="28"/>
          <w:lang w:eastAsia="ru-RU"/>
        </w:rPr>
        <w:t> </w:t>
      </w:r>
      <w:r w:rsidRPr="002770CA">
        <w:rPr>
          <w:rFonts w:ascii="Times New Roman" w:eastAsia="Times New Roman" w:hAnsi="Times New Roman" w:cs="Times New Roman"/>
          <w:color w:val="000000"/>
          <w:sz w:val="28"/>
          <w:szCs w:val="28"/>
          <w:shd w:val="clear" w:color="auto" w:fill="FFFFFF"/>
          <w:lang w:eastAsia="ru-RU"/>
        </w:rPr>
        <w:t>– (4,6-7,5)%,Zn – (2-5)%, S – (0,9-1,2)%, Cu – (0,6-0,7)%.В ходе отработки шлакоотвала, дробления и флотационного обогащения шлаков на обогатительной фабрике получают медно-цинковый концентрат и магнетит, содержащий песок.</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numPr>
          <w:ilvl w:val="1"/>
          <w:numId w:val="2"/>
        </w:numPr>
        <w:spacing w:after="0" w:line="240" w:lineRule="auto"/>
        <w:contextualSpacing/>
        <w:jc w:val="center"/>
        <w:rPr>
          <w:rFonts w:ascii="Times New Roman" w:eastAsia="Times New Roman" w:hAnsi="Times New Roman" w:cs="Times New Roman"/>
          <w:b/>
          <w:bCs/>
          <w:color w:val="000000"/>
          <w:sz w:val="28"/>
          <w:szCs w:val="28"/>
          <w:lang w:eastAsia="ru-RU"/>
        </w:rPr>
      </w:pPr>
      <w:r w:rsidRPr="002770CA">
        <w:rPr>
          <w:rFonts w:ascii="Times New Roman" w:eastAsia="Times New Roman" w:hAnsi="Times New Roman" w:cs="Times New Roman"/>
          <w:b/>
          <w:bCs/>
          <w:color w:val="000000"/>
          <w:sz w:val="28"/>
          <w:szCs w:val="28"/>
          <w:lang w:eastAsia="ru-RU"/>
        </w:rPr>
        <w:t>ТМ черных металлов</w:t>
      </w:r>
    </w:p>
    <w:p w:rsidR="002770CA" w:rsidRPr="002770CA" w:rsidRDefault="002770CA" w:rsidP="002770CA">
      <w:pPr>
        <w:spacing w:after="0" w:line="240" w:lineRule="auto"/>
        <w:ind w:left="720"/>
        <w:jc w:val="both"/>
        <w:rPr>
          <w:rFonts w:ascii="Times New Roman" w:eastAsia="Times New Roman" w:hAnsi="Times New Roman" w:cs="Times New Roman"/>
          <w:color w:val="000000"/>
          <w:sz w:val="28"/>
          <w:szCs w:val="28"/>
          <w:shd w:val="clear" w:color="auto" w:fill="FFFFFF"/>
          <w:lang w:eastAsia="ru-RU"/>
        </w:rPr>
      </w:pP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ТМ этой группы, как и ТМ цветных и редких металлов формируются при добыче, обогащении и переработке продуктов обогащения коренных руд чёрных металлов (Fe, Ti, Mn, Cr). Они так же, как правило, относятся к месторождениям смешенного типа, т.е. пригодны для доизвлечения различных металлов и для получения стройматериалов.Для месторождений Урала этой группы наблюдается аналогичное соотношение запасов для разных их типов:</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ТМ вскрышных и скальных пород и некондиционных руд - &gt;5 000млн. т;</w:t>
      </w:r>
    </w:p>
    <w:p w:rsidR="002770CA" w:rsidRPr="002770CA" w:rsidRDefault="002770CA" w:rsidP="002770CA">
      <w:pPr>
        <w:spacing w:after="0" w:line="240" w:lineRule="auto"/>
        <w:ind w:firstLine="708"/>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ТМ хвостов обогащения - ~900 млн. т;</w:t>
      </w:r>
    </w:p>
    <w:p w:rsidR="002770CA" w:rsidRPr="002770CA" w:rsidRDefault="002770CA" w:rsidP="002770CA">
      <w:pPr>
        <w:spacing w:after="0" w:line="240" w:lineRule="auto"/>
        <w:ind w:left="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ТМ шлаков металлургических комбинатов - ~200 млн. т.</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 xml:space="preserve">Наибольший интерес среди ТМ чёрных металлов вызывают в последнее время хвосты мокрой магнитной сепарации титаномагнетитовых руд КачканарскогоГОК’а (Урал). Хвостохранилище занимает площадь 2000´200 м=40 га. В среднем в него ежегодно поступает около 34 млн.т хвостов. Материал их достаточно однороден, с преобладающим фракционным составом 1-4 мм. Распределение металла по поверхности </w:t>
      </w:r>
      <w:r w:rsidRPr="002770CA">
        <w:rPr>
          <w:rFonts w:ascii="Times New Roman" w:eastAsia="Times New Roman" w:hAnsi="Times New Roman" w:cs="Times New Roman"/>
          <w:color w:val="000000"/>
          <w:sz w:val="28"/>
          <w:szCs w:val="28"/>
          <w:shd w:val="clear" w:color="auto" w:fill="FFFFFF"/>
          <w:lang w:eastAsia="ru-RU"/>
        </w:rPr>
        <w:lastRenderedPageBreak/>
        <w:t>хвостохранилища равномерное. Как следствие однородности состава шламов в них отмечаются стабильные содержания одного из редких металлов–скандия (C</w:t>
      </w:r>
      <w:r w:rsidRPr="002770CA">
        <w:rPr>
          <w:rFonts w:ascii="Times New Roman" w:eastAsia="Times New Roman" w:hAnsi="Times New Roman" w:cs="Times New Roman"/>
          <w:color w:val="000000"/>
          <w:sz w:val="28"/>
          <w:szCs w:val="28"/>
          <w:vertAlign w:val="subscript"/>
          <w:lang w:eastAsia="ru-RU"/>
        </w:rPr>
        <w:t>Sc</w:t>
      </w:r>
      <w:r w:rsidRPr="002770CA">
        <w:rPr>
          <w:rFonts w:ascii="Times New Roman" w:eastAsia="Times New Roman" w:hAnsi="Times New Roman" w:cs="Times New Roman"/>
          <w:color w:val="000000"/>
          <w:sz w:val="28"/>
          <w:szCs w:val="28"/>
          <w:shd w:val="clear" w:color="auto" w:fill="FFFFFF"/>
          <w:lang w:eastAsia="ru-RU"/>
        </w:rPr>
        <w:t>»130 г/т), представляющего промышленный интерес.</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ТМ металлургических предприятий представляют довольно сложные объекты. Строение подобных ТМ рассмотрим на примере ТМ Челябинского электрометаллургического комбината (АО «ЧЭМК»).Шлаковые отвалы ЧЭМК формируются с начала ферросплавного производства в 1931г. и продолжают функционировать по настоящее время. Они имеют в плане близкую к изометрической форму плоского типа (соотношение площади верхней поверхности и нижнего основания меньше двух). Площадь отвала около 38 га. Мощность тела отвала 16-31 м, средняя её величина – 22,55 м. Плотность материала – 2,5 т/м</w:t>
      </w:r>
      <w:r w:rsidRPr="002770CA">
        <w:rPr>
          <w:rFonts w:ascii="Times New Roman" w:eastAsia="Times New Roman" w:hAnsi="Times New Roman" w:cs="Times New Roman"/>
          <w:color w:val="000000"/>
          <w:sz w:val="28"/>
          <w:szCs w:val="28"/>
          <w:vertAlign w:val="superscript"/>
          <w:lang w:eastAsia="ru-RU"/>
        </w:rPr>
        <w:t>3</w:t>
      </w:r>
      <w:r w:rsidRPr="002770CA">
        <w:rPr>
          <w:rFonts w:ascii="Times New Roman" w:eastAsia="Times New Roman" w:hAnsi="Times New Roman" w:cs="Times New Roman"/>
          <w:color w:val="000000"/>
          <w:sz w:val="28"/>
          <w:szCs w:val="28"/>
          <w:shd w:val="clear" w:color="auto" w:fill="FFFFFF"/>
          <w:lang w:eastAsia="ru-RU"/>
        </w:rPr>
        <w:t>.</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Вывалка шлаков и отходов различного состава производилась хаотически, без соблюдения системы складирования, поэтому строение отвала сложное. Большая часть его поверхности покрыта пылями различных производств и саморассыпающихся шлаков, которые впоследствии проходят процесс литификации (слёживания), превращаясь в сцементированные тонкообломочные породы.</w:t>
      </w:r>
    </w:p>
    <w:p w:rsidR="002770CA" w:rsidRPr="002770CA" w:rsidRDefault="002770CA" w:rsidP="002770CA">
      <w:pPr>
        <w:spacing w:after="0" w:line="240" w:lineRule="auto"/>
        <w:ind w:firstLine="709"/>
        <w:jc w:val="both"/>
        <w:rPr>
          <w:rFonts w:ascii="Times New Roman" w:eastAsia="Times New Roman" w:hAnsi="Times New Roman" w:cs="Times New Roman"/>
          <w:color w:val="000000"/>
          <w:sz w:val="28"/>
          <w:szCs w:val="28"/>
          <w:shd w:val="clear" w:color="auto" w:fill="FFFFFF"/>
          <w:lang w:eastAsia="ru-RU"/>
        </w:rPr>
      </w:pPr>
      <w:r w:rsidRPr="002770CA">
        <w:rPr>
          <w:rFonts w:ascii="Times New Roman" w:eastAsia="Times New Roman" w:hAnsi="Times New Roman" w:cs="Times New Roman"/>
          <w:color w:val="000000"/>
          <w:sz w:val="28"/>
          <w:szCs w:val="28"/>
          <w:shd w:val="clear" w:color="auto" w:fill="FFFFFF"/>
          <w:lang w:eastAsia="ru-RU"/>
        </w:rPr>
        <w:t>В отвале содержится около 653 тыс.т марганца. Основное перспективное направление переработки – использование в качестве строительного материала с предварительным извлечением металлических фаз. Характерными стройматериалами, которые могут быть получены из шлаков чёрной металлургии, являются:</w:t>
      </w:r>
    </w:p>
    <w:p w:rsidR="002770CA" w:rsidRPr="002770CA" w:rsidRDefault="002770CA" w:rsidP="002770CA">
      <w:pPr>
        <w:spacing w:after="0" w:line="240" w:lineRule="auto"/>
        <w:ind w:left="709"/>
        <w:contextualSpacing/>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shd w:val="clear" w:color="auto" w:fill="FFFFFF"/>
          <w:lang w:eastAsia="ru-RU"/>
        </w:rPr>
        <w:t xml:space="preserve">- </w:t>
      </w:r>
      <w:r w:rsidRPr="002770CA">
        <w:rPr>
          <w:rFonts w:ascii="Times New Roman" w:eastAsia="Times New Roman" w:hAnsi="Times New Roman" w:cs="Times New Roman"/>
          <w:color w:val="000000"/>
          <w:sz w:val="28"/>
          <w:szCs w:val="28"/>
          <w:lang w:eastAsia="ru-RU"/>
        </w:rPr>
        <w:t>гранулированные шлаки;</w:t>
      </w:r>
    </w:p>
    <w:p w:rsidR="002770CA" w:rsidRPr="002770CA" w:rsidRDefault="002770CA" w:rsidP="002770CA">
      <w:pPr>
        <w:spacing w:after="0" w:line="240" w:lineRule="auto"/>
        <w:ind w:left="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шлаковая пемза как заполнитель бетона;</w:t>
      </w:r>
    </w:p>
    <w:p w:rsidR="002770CA" w:rsidRPr="002770CA" w:rsidRDefault="002770CA" w:rsidP="002770CA">
      <w:pPr>
        <w:spacing w:after="0" w:line="240" w:lineRule="auto"/>
        <w:ind w:left="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шлаковата;</w:t>
      </w:r>
    </w:p>
    <w:p w:rsidR="002770CA" w:rsidRPr="002770CA" w:rsidRDefault="002770CA" w:rsidP="002770CA">
      <w:pPr>
        <w:spacing w:after="0" w:line="240" w:lineRule="auto"/>
        <w:ind w:left="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литой шлаковый щебень;</w:t>
      </w:r>
    </w:p>
    <w:p w:rsidR="002770CA" w:rsidRPr="002770CA" w:rsidRDefault="002770CA" w:rsidP="002770CA">
      <w:pPr>
        <w:spacing w:after="0" w:line="240" w:lineRule="auto"/>
        <w:ind w:left="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шлаковое литьё (брусчатка, плитки, бордюрный камень и пр.);</w:t>
      </w:r>
    </w:p>
    <w:p w:rsidR="002770CA" w:rsidRPr="002770CA" w:rsidRDefault="002770CA" w:rsidP="002770CA">
      <w:pPr>
        <w:spacing w:after="0" w:line="240" w:lineRule="auto"/>
        <w:ind w:left="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-стеклокерамические изделия;</w:t>
      </w:r>
    </w:p>
    <w:p w:rsidR="002770CA" w:rsidRPr="002770CA" w:rsidRDefault="002770CA" w:rsidP="002770CA">
      <w:pPr>
        <w:spacing w:after="0" w:line="240" w:lineRule="auto"/>
        <w:ind w:left="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вяжущие добавки в цемент;</w:t>
      </w:r>
    </w:p>
    <w:p w:rsidR="002770CA" w:rsidRPr="002770CA" w:rsidRDefault="002770CA" w:rsidP="002770CA">
      <w:pPr>
        <w:spacing w:after="0" w:line="240" w:lineRule="auto"/>
        <w:ind w:left="709"/>
        <w:jc w:val="both"/>
        <w:rPr>
          <w:rFonts w:ascii="Times New Roman" w:eastAsia="Times New Roman" w:hAnsi="Times New Roman" w:cs="Times New Roman"/>
          <w:color w:val="000000"/>
          <w:sz w:val="28"/>
          <w:szCs w:val="28"/>
          <w:lang w:eastAsia="ru-RU"/>
        </w:rPr>
      </w:pPr>
      <w:r w:rsidRPr="002770CA">
        <w:rPr>
          <w:rFonts w:ascii="Times New Roman" w:eastAsia="Times New Roman" w:hAnsi="Times New Roman" w:cs="Times New Roman"/>
          <w:color w:val="000000"/>
          <w:sz w:val="28"/>
          <w:szCs w:val="28"/>
          <w:lang w:eastAsia="ru-RU"/>
        </w:rPr>
        <w:t>- минеральные добавки для улучшения почв.</w:t>
      </w:r>
    </w:p>
    <w:p w:rsidR="006D1707" w:rsidRDefault="006D1707">
      <w:bookmarkStart w:id="0" w:name="_GoBack"/>
      <w:bookmarkEnd w:id="0"/>
    </w:p>
    <w:sectPr w:rsidR="006D17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E1CFF"/>
    <w:multiLevelType w:val="multilevel"/>
    <w:tmpl w:val="1CD0A31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nsid w:val="4BF83D63"/>
    <w:multiLevelType w:val="multilevel"/>
    <w:tmpl w:val="091E0110"/>
    <w:lvl w:ilvl="0">
      <w:start w:val="2"/>
      <w:numFmt w:val="decimal"/>
      <w:lvlText w:val="%1."/>
      <w:lvlJc w:val="left"/>
      <w:pPr>
        <w:ind w:left="1080" w:hanging="360"/>
      </w:pPr>
      <w:rPr>
        <w:rFonts w:hint="default"/>
      </w:rPr>
    </w:lvl>
    <w:lvl w:ilvl="1">
      <w:start w:val="3"/>
      <w:numFmt w:val="decimal"/>
      <w:isLgl/>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6B4"/>
    <w:rsid w:val="002770CA"/>
    <w:rsid w:val="004766B4"/>
    <w:rsid w:val="006D1707"/>
    <w:rsid w:val="00F50E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4216</Words>
  <Characters>24037</Characters>
  <Application>Microsoft Office Word</Application>
  <DocSecurity>0</DocSecurity>
  <Lines>200</Lines>
  <Paragraphs>56</Paragraphs>
  <ScaleCrop>false</ScaleCrop>
  <Company/>
  <LinksUpToDate>false</LinksUpToDate>
  <CharactersWithSpaces>28197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Мизерная (Заведующая кафедрой ГиГД)</dc:creator>
  <cp:keywords/>
  <dc:description/>
  <cp:lastModifiedBy>Марина Мизерная (Заведующая кафедрой ГиГД)</cp:lastModifiedBy>
  <cp:revision>2</cp:revision>
  <dcterms:created xsi:type="dcterms:W3CDTF">2020-08-28T07:36:00Z</dcterms:created>
  <dcterms:modified xsi:type="dcterms:W3CDTF">2020-08-28T07:36:00Z</dcterms:modified>
</cp:coreProperties>
</file>